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100AC" w14:textId="77777777" w:rsidR="00980CA8" w:rsidRDefault="00980CA8" w:rsidP="0043651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4CB83E5" w14:textId="204B8FBB" w:rsidR="000D37AA" w:rsidRPr="009E7E17" w:rsidRDefault="00980CA8" w:rsidP="00980CA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E17">
        <w:rPr>
          <w:rFonts w:asciiTheme="minorHAnsi" w:hAnsiTheme="minorHAnsi" w:cstheme="minorHAnsi"/>
          <w:b/>
          <w:sz w:val="22"/>
          <w:szCs w:val="22"/>
        </w:rPr>
        <w:t>Tisková zpráva Kabinetu pro standardizaci</w:t>
      </w:r>
      <w:r w:rsidR="009E7E17">
        <w:rPr>
          <w:rFonts w:asciiTheme="minorHAnsi" w:hAnsiTheme="minorHAnsi" w:cstheme="minorHAnsi"/>
          <w:b/>
          <w:sz w:val="22"/>
          <w:szCs w:val="22"/>
        </w:rPr>
        <w:t>, o. p. s.</w:t>
      </w:r>
      <w:bookmarkStart w:id="0" w:name="_GoBack"/>
      <w:bookmarkEnd w:id="0"/>
    </w:p>
    <w:p w14:paraId="1B5BF8DE" w14:textId="40EFDBBD" w:rsidR="00980CA8" w:rsidRPr="009E7E17" w:rsidRDefault="00242F82" w:rsidP="00980CA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E17">
        <w:rPr>
          <w:rFonts w:asciiTheme="minorHAnsi" w:hAnsiTheme="minorHAnsi" w:cstheme="minorHAnsi"/>
          <w:b/>
          <w:sz w:val="22"/>
          <w:szCs w:val="22"/>
        </w:rPr>
        <w:t>Bezpečný provoz na hřištích a sportovištích – prevence úrazů</w:t>
      </w:r>
      <w:r w:rsidR="00980CA8" w:rsidRPr="009E7E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7E17">
        <w:rPr>
          <w:rFonts w:asciiTheme="minorHAnsi" w:hAnsiTheme="minorHAnsi" w:cstheme="minorHAnsi"/>
          <w:b/>
          <w:sz w:val="22"/>
          <w:szCs w:val="22"/>
        </w:rPr>
        <w:t>dětí a mládeže</w:t>
      </w:r>
    </w:p>
    <w:p w14:paraId="4CC84AEE" w14:textId="367D96C0" w:rsidR="00242F82" w:rsidRDefault="00242F82" w:rsidP="00BC5ED0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</w:p>
    <w:p w14:paraId="16F41D27" w14:textId="6A9E6605" w:rsidR="007604D8" w:rsidRDefault="00A72248" w:rsidP="00BC5ED0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A72248">
        <w:rPr>
          <w:rFonts w:asciiTheme="minorHAnsi" w:hAnsiTheme="minorHAnsi" w:cstheme="minorHAnsi"/>
          <w:noProof/>
          <w:sz w:val="20"/>
          <w:szCs w:val="18"/>
        </w:rPr>
        <w:drawing>
          <wp:anchor distT="0" distB="0" distL="114300" distR="114300" simplePos="0" relativeHeight="251658240" behindDoc="0" locked="0" layoutInCell="1" allowOverlap="1" wp14:anchorId="42A16851" wp14:editId="248CCE89">
            <wp:simplePos x="0" y="0"/>
            <wp:positionH relativeFrom="column">
              <wp:posOffset>3923665</wp:posOffset>
            </wp:positionH>
            <wp:positionV relativeFrom="paragraph">
              <wp:posOffset>71120</wp:posOffset>
            </wp:positionV>
            <wp:extent cx="2215515" cy="2806700"/>
            <wp:effectExtent l="0" t="0" r="0" b="0"/>
            <wp:wrapSquare wrapText="bothSides"/>
            <wp:docPr id="3" name="Obrázek 3" descr="D:\OneDrive\1 Docs-LiDu-Com Arch Act Syn\_SCS_Stru 2016 PLUS\10 Chovani trhu I\11 Ochrana spotr\Clan_stran_PR\Publ-2022\PravidlaPraxe\Pravidla2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\1 Docs-LiDu-Com Arch Act Syn\_SCS_Stru 2016 PLUS\10 Chovani trhu I\11 Ochrana spotr\Clan_stran_PR\Publ-2022\PravidlaPraxe\Pravidla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E17" w:rsidRPr="009E7E17">
        <w:rPr>
          <w:rFonts w:asciiTheme="minorHAnsi" w:hAnsiTheme="minorHAnsi" w:cstheme="minorHAnsi"/>
          <w:sz w:val="22"/>
          <w:szCs w:val="18"/>
        </w:rPr>
        <w:t>Praha, 2022-08-15;</w:t>
      </w:r>
      <w:r w:rsidR="009E7E17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242F82" w:rsidRPr="00242F82">
        <w:rPr>
          <w:rFonts w:asciiTheme="minorHAnsi" w:hAnsiTheme="minorHAnsi" w:cstheme="minorHAnsi"/>
          <w:b/>
          <w:sz w:val="22"/>
          <w:szCs w:val="18"/>
        </w:rPr>
        <w:t>Kabinet pro standardizaci, o. p. s., (</w:t>
      </w:r>
      <w:proofErr w:type="spellStart"/>
      <w:r w:rsidR="00242F82" w:rsidRPr="00242F82">
        <w:rPr>
          <w:rFonts w:asciiTheme="minorHAnsi" w:hAnsiTheme="minorHAnsi" w:cstheme="minorHAnsi"/>
          <w:b/>
          <w:sz w:val="22"/>
          <w:szCs w:val="18"/>
        </w:rPr>
        <w:t>KaStan</w:t>
      </w:r>
      <w:proofErr w:type="spellEnd"/>
      <w:r w:rsidR="00242F82" w:rsidRPr="00242F82">
        <w:rPr>
          <w:rFonts w:asciiTheme="minorHAnsi" w:hAnsiTheme="minorHAnsi" w:cstheme="minorHAnsi"/>
          <w:b/>
          <w:sz w:val="22"/>
          <w:szCs w:val="18"/>
        </w:rPr>
        <w:t>)</w:t>
      </w:r>
      <w:r w:rsidR="00242F82" w:rsidRPr="00242F82">
        <w:rPr>
          <w:rFonts w:asciiTheme="minorHAnsi" w:hAnsiTheme="minorHAnsi" w:cstheme="minorHAnsi"/>
          <w:sz w:val="22"/>
          <w:szCs w:val="18"/>
        </w:rPr>
        <w:t xml:space="preserve"> </w:t>
      </w:r>
      <w:r w:rsidR="00242F82">
        <w:rPr>
          <w:rFonts w:asciiTheme="minorHAnsi" w:hAnsiTheme="minorHAnsi" w:cstheme="minorHAnsi"/>
          <w:sz w:val="22"/>
          <w:szCs w:val="18"/>
        </w:rPr>
        <w:t xml:space="preserve">– s partnery zpracoval a vydal publikaci o správné praxi pro bezpečný </w:t>
      </w:r>
      <w:r w:rsidR="00242F82" w:rsidRPr="00E35BBE">
        <w:rPr>
          <w:rFonts w:asciiTheme="minorHAnsi" w:hAnsiTheme="minorHAnsi" w:cstheme="minorHAnsi"/>
          <w:bCs/>
          <w:sz w:val="22"/>
          <w:szCs w:val="22"/>
        </w:rPr>
        <w:t>provoz pro veřejná zařízení pro hry a sport dětí a mládeže, jako jsou dětská hřiště, sportoviště, tělocvičny a podobná zařízení</w:t>
      </w:r>
      <w:r w:rsidR="00242F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355C895" w14:textId="424E6D0B" w:rsidR="007604D8" w:rsidRPr="007604D8" w:rsidRDefault="007604D8" w:rsidP="00BC5ED0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18"/>
        </w:rPr>
      </w:pPr>
      <w:r w:rsidRPr="007604D8">
        <w:rPr>
          <w:rFonts w:asciiTheme="minorHAnsi" w:hAnsiTheme="minorHAnsi" w:cstheme="minorHAnsi"/>
          <w:sz w:val="22"/>
          <w:szCs w:val="18"/>
        </w:rPr>
        <w:t xml:space="preserve">Pravidla mají sloužit ke zvýšení kvality života a ochrany veřejného zájmu ve vztahu k prevenci úrazů dětí a mládeže. Zásadní je podpora souladu nejenom s obecně závaznými právními předpisy, ale zejména s evropskými normami vztahujícími se k problematice hřišť a sportovišť. </w:t>
      </w:r>
      <w:r>
        <w:rPr>
          <w:rFonts w:asciiTheme="minorHAnsi" w:hAnsiTheme="minorHAnsi" w:cstheme="minorHAnsi"/>
          <w:bCs/>
          <w:sz w:val="22"/>
          <w:szCs w:val="22"/>
        </w:rPr>
        <w:t xml:space="preserve">Pravidla jsou výkladem technických norem </w:t>
      </w:r>
      <w:r>
        <w:rPr>
          <w:rFonts w:asciiTheme="minorHAnsi" w:hAnsiTheme="minorHAnsi" w:cstheme="minorHAnsi"/>
          <w:sz w:val="22"/>
          <w:szCs w:val="22"/>
        </w:rPr>
        <w:t>ČSN EN platných pro dětská hřiště a různé typy sportovišť a prioritně jsou určena pro provozovatele veřejných zařízení pro děti a mládež.</w:t>
      </w:r>
    </w:p>
    <w:p w14:paraId="3CFCF4B0" w14:textId="60062701" w:rsidR="007604D8" w:rsidRPr="007604D8" w:rsidRDefault="007604D8" w:rsidP="00BC5ED0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18"/>
        </w:rPr>
      </w:pPr>
      <w:r w:rsidRPr="007604D8">
        <w:rPr>
          <w:rFonts w:asciiTheme="minorHAnsi" w:hAnsiTheme="minorHAnsi" w:cstheme="minorHAnsi"/>
          <w:sz w:val="22"/>
          <w:szCs w:val="18"/>
        </w:rPr>
        <w:t>Pravidla jasně a srozumitelně formul</w:t>
      </w:r>
      <w:r>
        <w:rPr>
          <w:rFonts w:asciiTheme="minorHAnsi" w:hAnsiTheme="minorHAnsi" w:cstheme="minorHAnsi"/>
          <w:sz w:val="22"/>
          <w:szCs w:val="18"/>
        </w:rPr>
        <w:t>ují</w:t>
      </w:r>
      <w:r w:rsidRPr="007604D8">
        <w:rPr>
          <w:rFonts w:asciiTheme="minorHAnsi" w:hAnsiTheme="minorHAnsi" w:cstheme="minorHAnsi"/>
          <w:sz w:val="22"/>
          <w:szCs w:val="18"/>
        </w:rPr>
        <w:t xml:space="preserve"> povinnosti provozovatele veřejných zařízení, která jsou k používání dětmi a mládeží určena, anebo která jsou obvykle dětmi a mládeží používána a využívána. </w:t>
      </w:r>
      <w:r>
        <w:rPr>
          <w:rFonts w:asciiTheme="minorHAnsi" w:hAnsiTheme="minorHAnsi" w:cstheme="minorHAnsi"/>
          <w:sz w:val="22"/>
          <w:szCs w:val="18"/>
        </w:rPr>
        <w:t>Jsou v nich</w:t>
      </w:r>
      <w:r w:rsidRPr="007604D8">
        <w:rPr>
          <w:rFonts w:asciiTheme="minorHAnsi" w:hAnsiTheme="minorHAnsi" w:cstheme="minorHAnsi"/>
          <w:sz w:val="22"/>
          <w:szCs w:val="18"/>
        </w:rPr>
        <w:t xml:space="preserve"> též stanoveny povinnosti provozovatele s vazbami na výrobce či dodavatele a zejména popsány formy inspekcí (kontrol) s důrazem na jejich provádění a zajišťování ve tří-stupňovém systému dle norem. Základním účelem vytvoření </w:t>
      </w:r>
      <w:r>
        <w:rPr>
          <w:rFonts w:asciiTheme="minorHAnsi" w:hAnsiTheme="minorHAnsi" w:cstheme="minorHAnsi"/>
          <w:sz w:val="22"/>
          <w:szCs w:val="18"/>
        </w:rPr>
        <w:t>pravidel</w:t>
      </w:r>
      <w:r w:rsidRPr="007604D8">
        <w:rPr>
          <w:rFonts w:asciiTheme="minorHAnsi" w:hAnsiTheme="minorHAnsi" w:cstheme="minorHAnsi"/>
          <w:sz w:val="22"/>
          <w:szCs w:val="18"/>
        </w:rPr>
        <w:t xml:space="preserve"> je podpora správné aplikace technických norem při provozu těchto veřejných zařízení a při provádění jejich inspekcí (kontrol).</w:t>
      </w:r>
      <w:r w:rsidR="00711606">
        <w:rPr>
          <w:rFonts w:asciiTheme="minorHAnsi" w:hAnsiTheme="minorHAnsi" w:cstheme="minorHAnsi"/>
          <w:sz w:val="22"/>
          <w:szCs w:val="18"/>
        </w:rPr>
        <w:t xml:space="preserve"> Nezávislost inspekcí je klíčovou podmínkou pro provádění správné praxe</w:t>
      </w:r>
      <w:r w:rsidR="00C00F89">
        <w:rPr>
          <w:rFonts w:asciiTheme="minorHAnsi" w:hAnsiTheme="minorHAnsi" w:cstheme="minorHAnsi"/>
          <w:sz w:val="22"/>
          <w:szCs w:val="18"/>
        </w:rPr>
        <w:t>, ale i odborná způsobilost inspektorů.</w:t>
      </w:r>
    </w:p>
    <w:p w14:paraId="38622DC0" w14:textId="77777777" w:rsidR="00F72B17" w:rsidRDefault="00242F82" w:rsidP="00BC5ED0">
      <w:pPr>
        <w:spacing w:after="120"/>
        <w:ind w:right="-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5BBE">
        <w:rPr>
          <w:rFonts w:asciiTheme="minorHAnsi" w:hAnsiTheme="minorHAnsi" w:cstheme="minorHAnsi"/>
          <w:bCs/>
          <w:sz w:val="22"/>
          <w:szCs w:val="22"/>
        </w:rPr>
        <w:t>Pravid</w:t>
      </w:r>
      <w:r w:rsidR="007604D8">
        <w:rPr>
          <w:rFonts w:asciiTheme="minorHAnsi" w:hAnsiTheme="minorHAnsi" w:cstheme="minorHAnsi"/>
          <w:bCs/>
          <w:sz w:val="22"/>
          <w:szCs w:val="22"/>
        </w:rPr>
        <w:t>la</w:t>
      </w:r>
      <w:r w:rsidRPr="00E35BBE">
        <w:rPr>
          <w:rFonts w:asciiTheme="minorHAnsi" w:hAnsiTheme="minorHAnsi" w:cstheme="minorHAnsi"/>
          <w:bCs/>
          <w:sz w:val="22"/>
          <w:szCs w:val="22"/>
        </w:rPr>
        <w:t xml:space="preserve"> praxe </w:t>
      </w:r>
      <w:r>
        <w:rPr>
          <w:rFonts w:asciiTheme="minorHAnsi" w:hAnsiTheme="minorHAnsi" w:cstheme="minorHAnsi"/>
          <w:bCs/>
          <w:sz w:val="22"/>
          <w:szCs w:val="22"/>
        </w:rPr>
        <w:t>plně respektov</w:t>
      </w:r>
      <w:r w:rsidR="007604D8">
        <w:rPr>
          <w:rFonts w:asciiTheme="minorHAnsi" w:hAnsiTheme="minorHAnsi" w:cstheme="minorHAnsi"/>
          <w:bCs/>
          <w:sz w:val="22"/>
          <w:szCs w:val="22"/>
        </w:rPr>
        <w:t>ala</w:t>
      </w:r>
      <w:r w:rsidRPr="00E35BBE">
        <w:rPr>
          <w:rFonts w:asciiTheme="minorHAnsi" w:hAnsiTheme="minorHAnsi" w:cstheme="minorHAnsi"/>
          <w:bCs/>
          <w:sz w:val="22"/>
          <w:szCs w:val="22"/>
        </w:rPr>
        <w:t xml:space="preserve"> metodik</w:t>
      </w:r>
      <w:r w:rsidR="007604D8">
        <w:rPr>
          <w:rFonts w:asciiTheme="minorHAnsi" w:hAnsiTheme="minorHAnsi" w:cstheme="minorHAnsi"/>
          <w:bCs/>
          <w:sz w:val="22"/>
          <w:szCs w:val="22"/>
        </w:rPr>
        <w:t>u</w:t>
      </w:r>
      <w:r w:rsidRPr="00E35BBE">
        <w:rPr>
          <w:rFonts w:asciiTheme="minorHAnsi" w:hAnsiTheme="minorHAnsi" w:cstheme="minorHAnsi"/>
          <w:bCs/>
          <w:sz w:val="22"/>
          <w:szCs w:val="22"/>
        </w:rPr>
        <w:t xml:space="preserve"> Hospodářské komory ČR pro registrovaná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E35BBE">
        <w:rPr>
          <w:rFonts w:asciiTheme="minorHAnsi" w:hAnsiTheme="minorHAnsi" w:cstheme="minorHAnsi"/>
          <w:bCs/>
          <w:sz w:val="22"/>
          <w:szCs w:val="22"/>
        </w:rPr>
        <w:t>ravidla praxe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04D8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finální produkt </w:t>
      </w:r>
      <w:r w:rsidR="007604D8">
        <w:rPr>
          <w:rFonts w:asciiTheme="minorHAnsi" w:hAnsiTheme="minorHAnsi" w:cstheme="minorHAnsi"/>
          <w:bCs/>
          <w:sz w:val="22"/>
          <w:szCs w:val="22"/>
        </w:rPr>
        <w:t>byl v rámci systému HK ČR registrován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E35BB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990FD3" w14:textId="2C1DA780" w:rsidR="009E7E17" w:rsidRDefault="00F72B17" w:rsidP="00BC5ED0">
      <w:pPr>
        <w:spacing w:after="120"/>
        <w:ind w:right="-28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Pravidla byla zpracována a vydána s podporou České agentury pro standardizaci. Během zpracování byl text komunikován s</w:t>
      </w:r>
      <w:r w:rsidR="009E7E17">
        <w:rPr>
          <w:rFonts w:asciiTheme="minorHAnsi" w:hAnsiTheme="minorHAnsi" w:cstheme="minorHAnsi"/>
          <w:bCs/>
          <w:sz w:val="22"/>
          <w:szCs w:val="22"/>
        </w:rPr>
        <w:t xml:space="preserve">e zástupci a </w:t>
      </w:r>
      <w:r>
        <w:rPr>
          <w:rFonts w:asciiTheme="minorHAnsi" w:hAnsiTheme="minorHAnsi" w:cstheme="minorHAnsi"/>
          <w:bCs/>
          <w:sz w:val="22"/>
          <w:szCs w:val="22"/>
        </w:rPr>
        <w:t> experty různých zainteresovaných stran</w:t>
      </w:r>
      <w:r w:rsidR="009E7E17">
        <w:rPr>
          <w:rFonts w:asciiTheme="minorHAnsi" w:hAnsiTheme="minorHAnsi" w:cstheme="minorHAnsi"/>
          <w:bCs/>
          <w:sz w:val="22"/>
          <w:szCs w:val="22"/>
        </w:rPr>
        <w:t xml:space="preserve"> (Český institut pro akreditaci,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9E7E17">
        <w:rPr>
          <w:rFonts w:asciiTheme="minorHAnsi" w:hAnsiTheme="minorHAnsi" w:cstheme="minorHAnsi"/>
          <w:bCs/>
          <w:sz w:val="22"/>
          <w:szCs w:val="22"/>
        </w:rPr>
        <w:t>městské úřady, člen ČKAIT, autorizovaný subjekt – ITC Zlín, aj.</w:t>
      </w:r>
      <w:r w:rsidR="00BC5ED0">
        <w:rPr>
          <w:rFonts w:asciiTheme="minorHAnsi" w:hAnsiTheme="minorHAnsi" w:cstheme="minorHAnsi"/>
          <w:bCs/>
          <w:sz w:val="22"/>
          <w:szCs w:val="22"/>
        </w:rPr>
        <w:t>)</w:t>
      </w:r>
    </w:p>
    <w:p w14:paraId="24F543AA" w14:textId="3C0C784E" w:rsidR="009F0FB0" w:rsidRDefault="00F72B17" w:rsidP="00BC5ED0">
      <w:pPr>
        <w:pStyle w:val="Odstavecseseznamem"/>
        <w:spacing w:after="120"/>
        <w:ind w:left="0" w:right="-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Titul publikace: </w:t>
      </w:r>
      <w:r w:rsidRPr="005F28E2">
        <w:rPr>
          <w:rFonts w:asciiTheme="minorHAnsi" w:hAnsiTheme="minorHAnsi" w:cstheme="minorHAnsi"/>
          <w:b/>
          <w:sz w:val="22"/>
          <w:szCs w:val="22"/>
        </w:rPr>
        <w:t xml:space="preserve">Bezpečný provoz veřejných herních a sportovních zařízení pro děti a mládež </w:t>
      </w:r>
      <w:r w:rsidRPr="00AA58E3">
        <w:rPr>
          <w:rFonts w:asciiTheme="minorHAnsi" w:hAnsiTheme="minorHAnsi" w:cstheme="minorHAnsi"/>
          <w:b/>
          <w:iCs/>
          <w:sz w:val="22"/>
          <w:szCs w:val="22"/>
        </w:rPr>
        <w:t>–</w:t>
      </w:r>
      <w:r w:rsidRPr="005F28E2">
        <w:rPr>
          <w:rFonts w:asciiTheme="minorHAnsi" w:hAnsiTheme="minorHAnsi" w:cstheme="minorHAnsi"/>
          <w:b/>
          <w:sz w:val="22"/>
          <w:szCs w:val="22"/>
        </w:rPr>
        <w:t xml:space="preserve"> Pravidla praxe podle technických norem, nejen pro provozovatele</w:t>
      </w:r>
      <w:r w:rsidR="009F0FB0">
        <w:rPr>
          <w:rFonts w:asciiTheme="minorHAnsi" w:hAnsiTheme="minorHAnsi" w:cstheme="minorHAnsi"/>
          <w:b/>
          <w:sz w:val="22"/>
          <w:szCs w:val="22"/>
        </w:rPr>
        <w:t>.</w:t>
      </w:r>
    </w:p>
    <w:p w14:paraId="7EE182E4" w14:textId="35A084C0" w:rsidR="00F72B17" w:rsidRPr="00FC059A" w:rsidRDefault="00F72B17" w:rsidP="00BC5ED0">
      <w:pPr>
        <w:pStyle w:val="Odstavecseseznamem"/>
        <w:spacing w:after="120"/>
        <w:ind w:left="0" w:right="-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059A">
        <w:rPr>
          <w:rFonts w:asciiTheme="minorHAnsi" w:hAnsiTheme="minorHAnsi" w:cstheme="minorHAnsi"/>
          <w:sz w:val="22"/>
          <w:szCs w:val="22"/>
        </w:rPr>
        <w:t>ISBN 978-80-87719-83-1</w:t>
      </w:r>
      <w:r w:rsidR="009F0FB0">
        <w:rPr>
          <w:rFonts w:asciiTheme="minorHAnsi" w:hAnsiTheme="minorHAnsi" w:cstheme="minorHAnsi"/>
          <w:sz w:val="22"/>
          <w:szCs w:val="22"/>
        </w:rPr>
        <w:t>; srpen 2022; p</w:t>
      </w:r>
      <w:r>
        <w:rPr>
          <w:rFonts w:asciiTheme="minorHAnsi" w:hAnsiTheme="minorHAnsi" w:cstheme="minorHAnsi"/>
          <w:sz w:val="22"/>
          <w:szCs w:val="22"/>
        </w:rPr>
        <w:t xml:space="preserve">ro Kabinet pro standardizaci vydalo </w:t>
      </w:r>
      <w:r w:rsidRPr="00FC059A">
        <w:rPr>
          <w:rFonts w:asciiTheme="minorHAnsi" w:hAnsiTheme="minorHAnsi" w:cstheme="minorHAnsi"/>
          <w:sz w:val="22"/>
          <w:szCs w:val="22"/>
        </w:rPr>
        <w:t>Sdružení českých spotřebitelů</w:t>
      </w:r>
      <w:r w:rsidR="009F0FB0">
        <w:rPr>
          <w:rFonts w:asciiTheme="minorHAnsi" w:hAnsiTheme="minorHAnsi" w:cstheme="minorHAnsi"/>
          <w:sz w:val="22"/>
          <w:szCs w:val="22"/>
        </w:rPr>
        <w:t>.</w:t>
      </w:r>
    </w:p>
    <w:p w14:paraId="384B1E26" w14:textId="78F7E559" w:rsidR="00242F82" w:rsidRDefault="00242F82" w:rsidP="00BC5ED0">
      <w:pPr>
        <w:spacing w:after="120"/>
        <w:ind w:right="-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5BBE">
        <w:rPr>
          <w:rFonts w:asciiTheme="minorHAnsi" w:hAnsiTheme="minorHAnsi" w:cstheme="minorHAnsi"/>
          <w:bCs/>
          <w:sz w:val="22"/>
          <w:szCs w:val="22"/>
        </w:rPr>
        <w:t xml:space="preserve">Pravidla praxe </w:t>
      </w:r>
      <w:r w:rsidR="00BC5ED0">
        <w:rPr>
          <w:rFonts w:asciiTheme="minorHAnsi" w:hAnsiTheme="minorHAnsi" w:cstheme="minorHAnsi"/>
          <w:bCs/>
          <w:sz w:val="22"/>
          <w:szCs w:val="22"/>
        </w:rPr>
        <w:t>byla</w:t>
      </w:r>
      <w:r>
        <w:rPr>
          <w:rFonts w:asciiTheme="minorHAnsi" w:hAnsiTheme="minorHAnsi" w:cstheme="minorHAnsi"/>
          <w:bCs/>
          <w:sz w:val="22"/>
          <w:szCs w:val="22"/>
        </w:rPr>
        <w:t xml:space="preserve"> vydána </w:t>
      </w:r>
      <w:r w:rsidR="00BC5ED0">
        <w:rPr>
          <w:rFonts w:asciiTheme="minorHAnsi" w:hAnsiTheme="minorHAnsi" w:cstheme="minorHAnsi"/>
          <w:bCs/>
          <w:sz w:val="22"/>
          <w:szCs w:val="22"/>
        </w:rPr>
        <w:t>v tištěném formátu a v e-verzi (</w:t>
      </w:r>
      <w:hyperlink r:id="rId9" w:history="1">
        <w:r w:rsidR="009F0FB0" w:rsidRPr="00440520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https://www.konzument.cz/users/publications/10-top-normy/412-nova-pravidla-praxe-pro-provoz-verejnych-zarizeni-pro-deti-a-mladez.pdf</w:t>
        </w:r>
      </w:hyperlink>
      <w:r w:rsidR="009F0FB0">
        <w:rPr>
          <w:rFonts w:asciiTheme="minorHAnsi" w:hAnsiTheme="minorHAnsi" w:cstheme="minorHAnsi"/>
          <w:bCs/>
          <w:sz w:val="22"/>
          <w:szCs w:val="22"/>
        </w:rPr>
        <w:t>).</w:t>
      </w:r>
    </w:p>
    <w:p w14:paraId="5DDED284" w14:textId="044159A7" w:rsidR="009F0FB0" w:rsidRPr="00E35BBE" w:rsidRDefault="009F0FB0" w:rsidP="00BC5ED0">
      <w:pPr>
        <w:spacing w:after="120"/>
        <w:ind w:right="-28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Další informace: </w:t>
      </w:r>
      <w:hyperlink r:id="rId10" w:history="1">
        <w:r w:rsidRPr="00440520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https://www.overenehriste.cz/dokumenty/nase-publikace.php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342A28" w14:textId="6EA2079C" w:rsidR="00242F82" w:rsidRPr="00C00F89" w:rsidRDefault="009F0FB0" w:rsidP="00BC5ED0">
      <w:pPr>
        <w:spacing w:after="120"/>
        <w:ind w:right="-283"/>
        <w:jc w:val="both"/>
        <w:rPr>
          <w:rFonts w:asciiTheme="minorHAnsi" w:hAnsiTheme="minorHAnsi" w:cstheme="minorHAnsi"/>
          <w:b/>
          <w:sz w:val="22"/>
          <w:szCs w:val="18"/>
        </w:rPr>
      </w:pPr>
      <w:r w:rsidRPr="00C00F89">
        <w:rPr>
          <w:rFonts w:asciiTheme="minorHAnsi" w:hAnsiTheme="minorHAnsi" w:cstheme="minorHAnsi"/>
          <w:b/>
          <w:sz w:val="22"/>
          <w:szCs w:val="18"/>
        </w:rPr>
        <w:t>Kontakt: Ing. Libor Dupal, ředitel společnosti</w:t>
      </w:r>
    </w:p>
    <w:p w14:paraId="1050A9D1" w14:textId="50C248DC" w:rsidR="009F0FB0" w:rsidRPr="009F0FB0" w:rsidRDefault="009F0FB0" w:rsidP="009F0FB0">
      <w:pPr>
        <w:numPr>
          <w:ilvl w:val="0"/>
          <w:numId w:val="32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0"/>
          <w:szCs w:val="18"/>
        </w:rPr>
      </w:pPr>
      <w:r w:rsidRPr="009F0FB0">
        <w:rPr>
          <w:rFonts w:asciiTheme="minorHAnsi" w:hAnsiTheme="minorHAnsi" w:cstheme="minorHAnsi"/>
          <w:b/>
          <w:bCs/>
          <w:sz w:val="20"/>
          <w:szCs w:val="18"/>
        </w:rPr>
        <w:t>KABINET PRO STANDARDIZACI, o. p. s.</w:t>
      </w:r>
    </w:p>
    <w:p w14:paraId="018F8408" w14:textId="77777777" w:rsidR="009F0FB0" w:rsidRPr="009F0FB0" w:rsidRDefault="009F0FB0" w:rsidP="009F0FB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18"/>
        </w:rPr>
      </w:pPr>
      <w:r w:rsidRPr="009F0FB0">
        <w:rPr>
          <w:rFonts w:asciiTheme="minorHAnsi" w:hAnsiTheme="minorHAnsi" w:cstheme="minorHAnsi"/>
          <w:sz w:val="20"/>
          <w:szCs w:val="18"/>
        </w:rPr>
        <w:t>Pod Altánem 99/103; 100 00 Praha 10 – Strašnice</w:t>
      </w:r>
    </w:p>
    <w:p w14:paraId="79C8D6DB" w14:textId="77777777" w:rsidR="009F0FB0" w:rsidRPr="009F0FB0" w:rsidRDefault="009F0FB0" w:rsidP="009F0FB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18"/>
        </w:rPr>
      </w:pPr>
      <w:r w:rsidRPr="009F0FB0">
        <w:rPr>
          <w:rFonts w:asciiTheme="minorHAnsi" w:hAnsiTheme="minorHAnsi" w:cstheme="minorHAnsi"/>
          <w:sz w:val="20"/>
          <w:szCs w:val="18"/>
        </w:rPr>
        <w:t>cell (Libor Dupal): +420 602561856</w:t>
      </w:r>
    </w:p>
    <w:p w14:paraId="28E7995B" w14:textId="241BF34C" w:rsidR="009F0FB0" w:rsidRPr="009F0FB0" w:rsidRDefault="009F0FB0" w:rsidP="009F0FB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18"/>
        </w:rPr>
      </w:pPr>
      <w:r w:rsidRPr="009F0FB0">
        <w:rPr>
          <w:rFonts w:asciiTheme="minorHAnsi" w:hAnsiTheme="minorHAnsi" w:cstheme="minorHAnsi"/>
          <w:sz w:val="20"/>
          <w:szCs w:val="18"/>
        </w:rPr>
        <w:t xml:space="preserve">e-mail: </w:t>
      </w:r>
      <w:hyperlink r:id="rId11" w:history="1">
        <w:r w:rsidR="00A72248" w:rsidRPr="00440520">
          <w:rPr>
            <w:rStyle w:val="Hypertextovodkaz"/>
            <w:rFonts w:asciiTheme="minorHAnsi" w:hAnsiTheme="minorHAnsi" w:cstheme="minorHAnsi"/>
            <w:sz w:val="20"/>
            <w:szCs w:val="18"/>
          </w:rPr>
          <w:t>dupal@top-normy.cz</w:t>
        </w:r>
      </w:hyperlink>
      <w:r w:rsidR="00A72248">
        <w:rPr>
          <w:rFonts w:asciiTheme="minorHAnsi" w:hAnsiTheme="minorHAnsi" w:cstheme="minorHAnsi"/>
          <w:sz w:val="20"/>
          <w:szCs w:val="18"/>
        </w:rPr>
        <w:t xml:space="preserve"> (</w:t>
      </w:r>
      <w:hyperlink r:id="rId12" w:history="1">
        <w:r w:rsidR="00A72248" w:rsidRPr="00440520">
          <w:rPr>
            <w:rStyle w:val="Hypertextovodkaz"/>
            <w:rFonts w:asciiTheme="minorHAnsi" w:hAnsiTheme="minorHAnsi" w:cstheme="minorHAnsi"/>
            <w:sz w:val="20"/>
            <w:szCs w:val="18"/>
          </w:rPr>
          <w:t>dupal@konzument.cz</w:t>
        </w:r>
      </w:hyperlink>
      <w:r w:rsidR="00A72248">
        <w:rPr>
          <w:rFonts w:asciiTheme="minorHAnsi" w:hAnsiTheme="minorHAnsi" w:cstheme="minorHAnsi"/>
          <w:sz w:val="20"/>
          <w:szCs w:val="18"/>
        </w:rPr>
        <w:t xml:space="preserve">) </w:t>
      </w:r>
    </w:p>
    <w:p w14:paraId="24CB83E7" w14:textId="636D7F9A" w:rsidR="0061048D" w:rsidRPr="00A72248" w:rsidRDefault="00A72248" w:rsidP="00A72248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18"/>
        </w:rPr>
      </w:pPr>
      <w:hyperlink r:id="rId13" w:history="1">
        <w:r w:rsidRPr="00440520">
          <w:rPr>
            <w:rStyle w:val="Hypertextovodkaz"/>
            <w:rFonts w:asciiTheme="minorHAnsi" w:hAnsiTheme="minorHAnsi" w:cstheme="minorHAnsi"/>
            <w:sz w:val="20"/>
            <w:szCs w:val="18"/>
          </w:rPr>
          <w:t>www.top-normy.cz</w:t>
        </w:r>
      </w:hyperlink>
      <w:r>
        <w:rPr>
          <w:rFonts w:asciiTheme="minorHAnsi" w:hAnsiTheme="minorHAnsi" w:cstheme="minorHAnsi"/>
          <w:sz w:val="20"/>
          <w:szCs w:val="18"/>
        </w:rPr>
        <w:t xml:space="preserve">; </w:t>
      </w:r>
      <w:hyperlink r:id="rId14" w:history="1">
        <w:r w:rsidRPr="00440520">
          <w:rPr>
            <w:rStyle w:val="Hypertextovodkaz"/>
            <w:rFonts w:asciiTheme="minorHAnsi" w:hAnsiTheme="minorHAnsi" w:cstheme="minorHAnsi"/>
            <w:sz w:val="20"/>
            <w:szCs w:val="18"/>
          </w:rPr>
          <w:t>www.overenehriste.cz</w:t>
        </w:r>
      </w:hyperlink>
      <w:r>
        <w:rPr>
          <w:rFonts w:asciiTheme="minorHAnsi" w:hAnsiTheme="minorHAnsi" w:cstheme="minorHAnsi"/>
          <w:sz w:val="20"/>
          <w:szCs w:val="18"/>
        </w:rPr>
        <w:t xml:space="preserve"> +</w:t>
      </w:r>
    </w:p>
    <w:sectPr w:rsidR="0061048D" w:rsidRPr="00A72248" w:rsidSect="001E07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9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0C42" w14:textId="77777777" w:rsidR="00C1113D" w:rsidRDefault="00C1113D">
      <w:r>
        <w:separator/>
      </w:r>
    </w:p>
  </w:endnote>
  <w:endnote w:type="continuationSeparator" w:id="0">
    <w:p w14:paraId="3B878BD5" w14:textId="77777777" w:rsidR="00C1113D" w:rsidRDefault="00C1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3F3" w14:textId="77777777"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CB83F4" w14:textId="77777777" w:rsidR="004A67AE" w:rsidRDefault="004A67A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812"/>
      <w:gridCol w:w="709"/>
    </w:tblGrid>
    <w:tr w:rsidR="004A67AE" w14:paraId="24CB83FF" w14:textId="77777777" w:rsidTr="00691D46">
      <w:tc>
        <w:tcPr>
          <w:tcW w:w="2622" w:type="dxa"/>
        </w:tcPr>
        <w:p w14:paraId="24CB83F5" w14:textId="77777777" w:rsidR="004A67AE" w:rsidRPr="00A3658A" w:rsidRDefault="000D37AA" w:rsidP="000D37AA">
          <w:pPr>
            <w:rPr>
              <w:color w:val="595959"/>
              <w:sz w:val="56"/>
              <w:szCs w:val="96"/>
            </w:rPr>
          </w:pPr>
          <w:proofErr w:type="spellStart"/>
          <w:r w:rsidRPr="00A3658A">
            <w:rPr>
              <w:color w:val="595959"/>
              <w:sz w:val="56"/>
              <w:szCs w:val="96"/>
            </w:rPr>
            <w:t>KaStan</w:t>
          </w:r>
          <w:proofErr w:type="spellEnd"/>
        </w:p>
        <w:p w14:paraId="24CB83F6" w14:textId="77777777" w:rsidR="00CC55F1" w:rsidRPr="00CC55F1" w:rsidRDefault="00C1113D" w:rsidP="000D37AA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CC55F1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14:paraId="24CB83F7" w14:textId="77777777" w:rsidR="004A67AE" w:rsidRDefault="004A67AE">
          <w:pPr>
            <w:jc w:val="right"/>
            <w:rPr>
              <w:sz w:val="18"/>
            </w:rPr>
          </w:pPr>
        </w:p>
      </w:tc>
      <w:tc>
        <w:tcPr>
          <w:tcW w:w="5812" w:type="dxa"/>
        </w:tcPr>
        <w:p w14:paraId="24CB83F8" w14:textId="77777777" w:rsidR="00442779" w:rsidRPr="00A3658A" w:rsidRDefault="00442779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14:paraId="24CB83F9" w14:textId="77777777" w:rsidR="00442779" w:rsidRPr="00A3658A" w:rsidRDefault="00442779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14:paraId="24CB83FA" w14:textId="77777777" w:rsidR="00442779" w:rsidRPr="00442779" w:rsidRDefault="00442779" w:rsidP="00442779">
          <w:pPr>
            <w:jc w:val="right"/>
            <w:rPr>
              <w:b/>
              <w:color w:val="595959"/>
              <w:spacing w:val="10"/>
              <w:sz w:val="18"/>
              <w:szCs w:val="16"/>
            </w:rPr>
          </w:pPr>
          <w:r w:rsidRPr="00442779">
            <w:rPr>
              <w:color w:val="595959"/>
              <w:spacing w:val="10"/>
              <w:sz w:val="18"/>
              <w:szCs w:val="16"/>
            </w:rPr>
            <w:t xml:space="preserve">Tel.: +420 602 56 18 56; e-mail: </w:t>
          </w:r>
          <w:r w:rsidRPr="00442779">
            <w:rPr>
              <w:bCs/>
              <w:color w:val="595959"/>
              <w:spacing w:val="10"/>
              <w:sz w:val="18"/>
              <w:szCs w:val="16"/>
            </w:rPr>
            <w:t>info</w:t>
          </w:r>
          <w:hyperlink r:id="rId2" w:history="1">
            <w:r w:rsidRPr="00442779">
              <w:rPr>
                <w:color w:val="595959"/>
                <w:spacing w:val="10"/>
                <w:sz w:val="18"/>
                <w:szCs w:val="16"/>
              </w:rPr>
              <w:t>@top-normy.cz</w:t>
            </w:r>
          </w:hyperlink>
          <w:r w:rsidRPr="00442779">
            <w:rPr>
              <w:color w:val="595959"/>
              <w:spacing w:val="10"/>
              <w:sz w:val="18"/>
              <w:szCs w:val="16"/>
            </w:rPr>
            <w:t xml:space="preserve"> </w:t>
          </w:r>
        </w:p>
        <w:p w14:paraId="24CB83FB" w14:textId="77777777" w:rsidR="00442779" w:rsidRPr="00442779" w:rsidRDefault="00C1113D" w:rsidP="00442779">
          <w:pPr>
            <w:jc w:val="right"/>
            <w:rPr>
              <w:b/>
              <w:color w:val="595959"/>
              <w:spacing w:val="10"/>
              <w:sz w:val="18"/>
              <w:szCs w:val="16"/>
            </w:rPr>
          </w:pPr>
          <w:hyperlink r:id="rId3" w:history="1">
            <w:r w:rsidR="00442779" w:rsidRPr="00442779">
              <w:rPr>
                <w:bCs/>
                <w:color w:val="595959"/>
                <w:spacing w:val="10"/>
                <w:sz w:val="18"/>
                <w:szCs w:val="16"/>
              </w:rPr>
              <w:t>www</w:t>
            </w:r>
            <w:r w:rsidR="00442779" w:rsidRPr="00442779">
              <w:rPr>
                <w:color w:val="595959"/>
                <w:spacing w:val="10"/>
                <w:sz w:val="18"/>
                <w:szCs w:val="16"/>
              </w:rPr>
              <w:t>.top-normy.cz</w:t>
            </w:r>
          </w:hyperlink>
        </w:p>
        <w:p w14:paraId="24CB83FC" w14:textId="77777777" w:rsidR="00CC55F1" w:rsidRPr="00442779" w:rsidRDefault="00442779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Bankovní spojení: </w:t>
          </w:r>
          <w:r>
            <w:rPr>
              <w:bCs/>
              <w:color w:val="595959"/>
              <w:spacing w:val="10"/>
              <w:sz w:val="18"/>
              <w:szCs w:val="16"/>
            </w:rPr>
            <w:t>Fio banka</w:t>
          </w: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, č. </w:t>
          </w:r>
          <w:proofErr w:type="spellStart"/>
          <w:r w:rsidRPr="00A3658A">
            <w:rPr>
              <w:bCs/>
              <w:color w:val="595959"/>
              <w:spacing w:val="10"/>
              <w:sz w:val="18"/>
              <w:szCs w:val="16"/>
            </w:rPr>
            <w:t>ú.</w:t>
          </w:r>
          <w:proofErr w:type="spellEnd"/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 </w:t>
          </w:r>
          <w:r w:rsidRPr="00A477DF">
            <w:rPr>
              <w:bCs/>
              <w:color w:val="595959"/>
              <w:spacing w:val="10"/>
              <w:sz w:val="18"/>
              <w:szCs w:val="16"/>
            </w:rPr>
            <w:t>2301482858/2010</w:t>
          </w:r>
        </w:p>
      </w:tc>
      <w:tc>
        <w:tcPr>
          <w:tcW w:w="709" w:type="dxa"/>
          <w:vAlign w:val="center"/>
        </w:tcPr>
        <w:p w14:paraId="24CB83FD" w14:textId="3E048C45" w:rsidR="001E07DC" w:rsidRDefault="001E07DC" w:rsidP="001E07DC">
          <w:pPr>
            <w:pStyle w:val="Zpat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PAGE  </w:instrText>
          </w:r>
          <w:r>
            <w:rPr>
              <w:rStyle w:val="slostrnky"/>
            </w:rPr>
            <w:fldChar w:fldCharType="separate"/>
          </w:r>
          <w:r w:rsidR="00C00F8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24CB83FE" w14:textId="77777777" w:rsidR="004A67AE" w:rsidRDefault="004A67AE" w:rsidP="00691D46">
          <w:pPr>
            <w:jc w:val="right"/>
          </w:pPr>
        </w:p>
      </w:tc>
    </w:tr>
  </w:tbl>
  <w:p w14:paraId="24CB8400" w14:textId="77777777" w:rsidR="004A67AE" w:rsidRDefault="004A67AE" w:rsidP="001E07DC">
    <w:pPr>
      <w:pStyle w:val="Zpat"/>
      <w:tabs>
        <w:tab w:val="clear" w:pos="9072"/>
        <w:tab w:val="left" w:pos="9356"/>
        <w:tab w:val="right" w:pos="9639"/>
      </w:tabs>
      <w:ind w:right="-284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402" w14:textId="77777777" w:rsidR="0036655E" w:rsidRDefault="00366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20D9" w14:textId="77777777" w:rsidR="00C1113D" w:rsidRDefault="00C1113D">
      <w:r>
        <w:separator/>
      </w:r>
    </w:p>
  </w:footnote>
  <w:footnote w:type="continuationSeparator" w:id="0">
    <w:p w14:paraId="033AE23E" w14:textId="77777777" w:rsidR="00C1113D" w:rsidRDefault="00C1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3EC" w14:textId="77777777" w:rsidR="0036655E" w:rsidRDefault="003665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5386"/>
    </w:tblGrid>
    <w:tr w:rsidR="004A67AE" w14:paraId="24CB83F1" w14:textId="77777777" w:rsidTr="00F36630">
      <w:tc>
        <w:tcPr>
          <w:tcW w:w="4323" w:type="dxa"/>
          <w:tcBorders>
            <w:bottom w:val="single" w:sz="18" w:space="0" w:color="333399"/>
          </w:tcBorders>
        </w:tcPr>
        <w:p w14:paraId="24CB83ED" w14:textId="77777777" w:rsidR="004A67AE" w:rsidRDefault="004A67AE">
          <w:pPr>
            <w:spacing w:line="360" w:lineRule="auto"/>
            <w:rPr>
              <w:sz w:val="6"/>
            </w:rPr>
          </w:pPr>
        </w:p>
        <w:p w14:paraId="24CB83EE" w14:textId="77777777" w:rsidR="004A67AE" w:rsidRDefault="00E77465">
          <w:pPr>
            <w:spacing w:line="360" w:lineRule="auto"/>
          </w:pPr>
          <w:r w:rsidRPr="00F36630">
            <w:rPr>
              <w:noProof/>
            </w:rPr>
            <w:drawing>
              <wp:inline distT="0" distB="0" distL="0" distR="0" wp14:anchorId="24CB8403" wp14:editId="24CB8404">
                <wp:extent cx="2400300" cy="390525"/>
                <wp:effectExtent l="0" t="0" r="0" b="0"/>
                <wp:docPr id="1" name="obrázek 1" descr="Kabin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bin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bottom w:val="single" w:sz="18" w:space="0" w:color="333399"/>
          </w:tcBorders>
          <w:vAlign w:val="center"/>
        </w:tcPr>
        <w:p w14:paraId="24CB83EF" w14:textId="77777777" w:rsidR="004A67AE" w:rsidRDefault="004A67AE" w:rsidP="00F36630">
          <w:pPr>
            <w:pStyle w:val="Nadpis4"/>
            <w:tabs>
              <w:tab w:val="left" w:pos="7960"/>
            </w:tabs>
            <w:ind w:left="1190" w:right="71"/>
            <w:rPr>
              <w:spacing w:val="16"/>
            </w:rPr>
          </w:pPr>
        </w:p>
        <w:p w14:paraId="24CB83F0" w14:textId="77777777" w:rsidR="00F36630" w:rsidRPr="00F36630" w:rsidRDefault="00E77465" w:rsidP="00F36630">
          <w:pPr>
            <w:jc w:val="right"/>
          </w:pPr>
          <w:r w:rsidRPr="00F36630">
            <w:rPr>
              <w:noProof/>
              <w:sz w:val="8"/>
            </w:rPr>
            <w:drawing>
              <wp:inline distT="0" distB="0" distL="0" distR="0" wp14:anchorId="24CB8405" wp14:editId="24CB8406">
                <wp:extent cx="1266825" cy="276225"/>
                <wp:effectExtent l="0" t="0" r="0" b="0"/>
                <wp:docPr id="2" name="obrázek 2" descr="Top_norm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p_norm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CB83F2" w14:textId="77777777" w:rsidR="004A67AE" w:rsidRPr="000D37AA" w:rsidRDefault="004A67AE" w:rsidP="000D37AA">
    <w:pPr>
      <w:pStyle w:val="Zhlav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401" w14:textId="77777777" w:rsidR="0036655E" w:rsidRDefault="003665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4B2E"/>
    <w:multiLevelType w:val="hybridMultilevel"/>
    <w:tmpl w:val="BA667A8C"/>
    <w:lvl w:ilvl="0" w:tplc="2390B7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2710"/>
    <w:multiLevelType w:val="multilevel"/>
    <w:tmpl w:val="B71AFEA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80A5A"/>
    <w:multiLevelType w:val="hybridMultilevel"/>
    <w:tmpl w:val="68CA6CCA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50AB6"/>
    <w:multiLevelType w:val="hybridMultilevel"/>
    <w:tmpl w:val="1C2C3BFA"/>
    <w:lvl w:ilvl="0" w:tplc="C9321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23EA6"/>
    <w:multiLevelType w:val="hybridMultilevel"/>
    <w:tmpl w:val="144C034C"/>
    <w:lvl w:ilvl="0" w:tplc="D778A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4D9D"/>
    <w:multiLevelType w:val="hybridMultilevel"/>
    <w:tmpl w:val="EA485362"/>
    <w:lvl w:ilvl="0" w:tplc="CCAEBF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645436BB"/>
    <w:multiLevelType w:val="hybridMultilevel"/>
    <w:tmpl w:val="B9B02C44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4"/>
  </w:num>
  <w:num w:numId="5">
    <w:abstractNumId w:val="23"/>
  </w:num>
  <w:num w:numId="6">
    <w:abstractNumId w:val="19"/>
  </w:num>
  <w:num w:numId="7">
    <w:abstractNumId w:val="9"/>
  </w:num>
  <w:num w:numId="8">
    <w:abstractNumId w:val="31"/>
  </w:num>
  <w:num w:numId="9">
    <w:abstractNumId w:val="29"/>
  </w:num>
  <w:num w:numId="10">
    <w:abstractNumId w:val="5"/>
  </w:num>
  <w:num w:numId="11">
    <w:abstractNumId w:val="22"/>
  </w:num>
  <w:num w:numId="12">
    <w:abstractNumId w:val="18"/>
  </w:num>
  <w:num w:numId="13">
    <w:abstractNumId w:val="27"/>
  </w:num>
  <w:num w:numId="14">
    <w:abstractNumId w:val="7"/>
  </w:num>
  <w:num w:numId="15">
    <w:abstractNumId w:val="17"/>
  </w:num>
  <w:num w:numId="16">
    <w:abstractNumId w:val="12"/>
  </w:num>
  <w:num w:numId="17">
    <w:abstractNumId w:val="2"/>
  </w:num>
  <w:num w:numId="18">
    <w:abstractNumId w:val="28"/>
  </w:num>
  <w:num w:numId="19">
    <w:abstractNumId w:val="24"/>
  </w:num>
  <w:num w:numId="20">
    <w:abstractNumId w:val="10"/>
  </w:num>
  <w:num w:numId="21">
    <w:abstractNumId w:val="14"/>
  </w:num>
  <w:num w:numId="22">
    <w:abstractNumId w:val="25"/>
  </w:num>
  <w:num w:numId="23">
    <w:abstractNumId w:val="21"/>
  </w:num>
  <w:num w:numId="24">
    <w:abstractNumId w:val="30"/>
  </w:num>
  <w:num w:numId="25">
    <w:abstractNumId w:val="3"/>
  </w:num>
  <w:num w:numId="26">
    <w:abstractNumId w:val="1"/>
  </w:num>
  <w:num w:numId="27">
    <w:abstractNumId w:val="16"/>
  </w:num>
  <w:num w:numId="28">
    <w:abstractNumId w:val="11"/>
  </w:num>
  <w:num w:numId="29">
    <w:abstractNumId w:val="8"/>
  </w:num>
  <w:num w:numId="30">
    <w:abstractNumId w:val="13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212DE"/>
    <w:rsid w:val="00042653"/>
    <w:rsid w:val="00072B46"/>
    <w:rsid w:val="000869E7"/>
    <w:rsid w:val="000A1CBC"/>
    <w:rsid w:val="000D37AA"/>
    <w:rsid w:val="00116459"/>
    <w:rsid w:val="001166A4"/>
    <w:rsid w:val="001858D9"/>
    <w:rsid w:val="00186897"/>
    <w:rsid w:val="001B55F9"/>
    <w:rsid w:val="001C10D1"/>
    <w:rsid w:val="001E07DC"/>
    <w:rsid w:val="001E6640"/>
    <w:rsid w:val="001F0DA0"/>
    <w:rsid w:val="00242BDD"/>
    <w:rsid w:val="00242F82"/>
    <w:rsid w:val="00250C93"/>
    <w:rsid w:val="002B360D"/>
    <w:rsid w:val="002C332E"/>
    <w:rsid w:val="002D094E"/>
    <w:rsid w:val="00310F19"/>
    <w:rsid w:val="00320523"/>
    <w:rsid w:val="00363535"/>
    <w:rsid w:val="0036655E"/>
    <w:rsid w:val="003906F3"/>
    <w:rsid w:val="003A7D01"/>
    <w:rsid w:val="003B6524"/>
    <w:rsid w:val="0043651C"/>
    <w:rsid w:val="00437678"/>
    <w:rsid w:val="00440174"/>
    <w:rsid w:val="00442779"/>
    <w:rsid w:val="00462247"/>
    <w:rsid w:val="004656A8"/>
    <w:rsid w:val="004665BF"/>
    <w:rsid w:val="00492186"/>
    <w:rsid w:val="004A67AE"/>
    <w:rsid w:val="004C5609"/>
    <w:rsid w:val="004C7184"/>
    <w:rsid w:val="004D31FB"/>
    <w:rsid w:val="004F423B"/>
    <w:rsid w:val="005332C0"/>
    <w:rsid w:val="00540830"/>
    <w:rsid w:val="00580BA5"/>
    <w:rsid w:val="00596128"/>
    <w:rsid w:val="005979AF"/>
    <w:rsid w:val="005B0C2B"/>
    <w:rsid w:val="005B2F69"/>
    <w:rsid w:val="005D77A1"/>
    <w:rsid w:val="005E4337"/>
    <w:rsid w:val="0060473E"/>
    <w:rsid w:val="0061048D"/>
    <w:rsid w:val="00616C1A"/>
    <w:rsid w:val="00664BF3"/>
    <w:rsid w:val="006674D1"/>
    <w:rsid w:val="00691D46"/>
    <w:rsid w:val="006A0B2D"/>
    <w:rsid w:val="006F4984"/>
    <w:rsid w:val="00711606"/>
    <w:rsid w:val="007169B6"/>
    <w:rsid w:val="00741282"/>
    <w:rsid w:val="00750C21"/>
    <w:rsid w:val="007604D8"/>
    <w:rsid w:val="00761E62"/>
    <w:rsid w:val="007D4BA9"/>
    <w:rsid w:val="007E62DE"/>
    <w:rsid w:val="008025BA"/>
    <w:rsid w:val="00815610"/>
    <w:rsid w:val="00876265"/>
    <w:rsid w:val="008A3042"/>
    <w:rsid w:val="008C1064"/>
    <w:rsid w:val="008D6428"/>
    <w:rsid w:val="00956955"/>
    <w:rsid w:val="00980CA8"/>
    <w:rsid w:val="00997132"/>
    <w:rsid w:val="009E7E17"/>
    <w:rsid w:val="009F0FB0"/>
    <w:rsid w:val="00A102A2"/>
    <w:rsid w:val="00A3658A"/>
    <w:rsid w:val="00A62FFD"/>
    <w:rsid w:val="00A72248"/>
    <w:rsid w:val="00AA4424"/>
    <w:rsid w:val="00AF6684"/>
    <w:rsid w:val="00AF6E7B"/>
    <w:rsid w:val="00B213BD"/>
    <w:rsid w:val="00B2184E"/>
    <w:rsid w:val="00B311CE"/>
    <w:rsid w:val="00B43095"/>
    <w:rsid w:val="00B76FEA"/>
    <w:rsid w:val="00BC3E7B"/>
    <w:rsid w:val="00BC5ED0"/>
    <w:rsid w:val="00C00F89"/>
    <w:rsid w:val="00C1067B"/>
    <w:rsid w:val="00C1113D"/>
    <w:rsid w:val="00C20474"/>
    <w:rsid w:val="00C22D18"/>
    <w:rsid w:val="00C32466"/>
    <w:rsid w:val="00C779CB"/>
    <w:rsid w:val="00CA4E4C"/>
    <w:rsid w:val="00CC55F1"/>
    <w:rsid w:val="00CE30FE"/>
    <w:rsid w:val="00D27474"/>
    <w:rsid w:val="00D31AD3"/>
    <w:rsid w:val="00D62289"/>
    <w:rsid w:val="00D81999"/>
    <w:rsid w:val="00D85D5E"/>
    <w:rsid w:val="00D963D1"/>
    <w:rsid w:val="00DB0699"/>
    <w:rsid w:val="00E163E3"/>
    <w:rsid w:val="00E32BC7"/>
    <w:rsid w:val="00E77465"/>
    <w:rsid w:val="00EA3C67"/>
    <w:rsid w:val="00EB56FD"/>
    <w:rsid w:val="00F36630"/>
    <w:rsid w:val="00F4375C"/>
    <w:rsid w:val="00F72B17"/>
    <w:rsid w:val="00F744A5"/>
    <w:rsid w:val="00F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B83E4"/>
  <w15:chartTrackingRefBased/>
  <w15:docId w15:val="{E21119F9-A737-4172-A45A-5CDE0DFB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rsid w:val="00A62FFD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1E07D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72B17"/>
    <w:pPr>
      <w:ind w:left="708"/>
    </w:pPr>
  </w:style>
  <w:style w:type="character" w:styleId="Siln">
    <w:name w:val="Strong"/>
    <w:basedOn w:val="Standardnpsmoodstavce"/>
    <w:uiPriority w:val="22"/>
    <w:qFormat/>
    <w:rsid w:val="009F0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p-normy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onzument.cz/users/publications/10-top-normy/412-nova-pravidla-praxe-pro-provoz-verejnych-zarizeni-pro-deti-a-mladez.pdf" TargetMode="External"/><Relationship Id="rId12" Type="http://schemas.openxmlformats.org/officeDocument/2006/relationships/hyperlink" Target="mailto:dupal@konzument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top-normy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overenehriste.cz/dokumenty/nase-publikace.php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konzument.cz/users/publications/10-top-normy/412-nova-pravidla-praxe-pro-provoz-verejnych-zarizeni-pro-deti-a-mladez.pdf" TargetMode="External"/><Relationship Id="rId14" Type="http://schemas.openxmlformats.org/officeDocument/2006/relationships/hyperlink" Target="http://www.overenehriste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http://@top-normy.cz" TargetMode="External"/><Relationship Id="rId1" Type="http://schemas.openxmlformats.org/officeDocument/2006/relationships/hyperlink" Target="http://www.top-norm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3125</CharactersWithSpaces>
  <SharedDoc>false</SharedDoc>
  <HLinks>
    <vt:vector size="12" baseType="variant"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Libor Dupal</dc:creator>
  <cp:keywords/>
  <cp:lastModifiedBy>libor dupal</cp:lastModifiedBy>
  <cp:revision>4</cp:revision>
  <cp:lastPrinted>2011-03-30T08:58:00Z</cp:lastPrinted>
  <dcterms:created xsi:type="dcterms:W3CDTF">2022-08-15T08:26:00Z</dcterms:created>
  <dcterms:modified xsi:type="dcterms:W3CDTF">2022-08-15T09:02:00Z</dcterms:modified>
</cp:coreProperties>
</file>