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70F75" w14:textId="77777777" w:rsidR="00CF72EC" w:rsidRPr="00341578" w:rsidRDefault="00CF72EC" w:rsidP="004E6B68">
      <w:pPr>
        <w:spacing w:after="120"/>
        <w:jc w:val="center"/>
        <w:rPr>
          <w:w w:val="200"/>
        </w:rPr>
      </w:pPr>
      <w:r w:rsidRPr="00341578">
        <w:rPr>
          <w:w w:val="200"/>
        </w:rPr>
        <w:t>Kvalita za spotřebitelem, spotřebitel za kvalitou</w:t>
      </w:r>
    </w:p>
    <w:p w14:paraId="54B12677" w14:textId="77777777" w:rsidR="00CF72EC" w:rsidRPr="00AB7249" w:rsidRDefault="00CF72EC" w:rsidP="004E6B68">
      <w:pPr>
        <w:spacing w:after="120" w:line="276" w:lineRule="auto"/>
        <w:jc w:val="center"/>
        <w:rPr>
          <w:b/>
          <w:sz w:val="28"/>
        </w:rPr>
      </w:pPr>
      <w:r w:rsidRPr="00AB7249">
        <w:rPr>
          <w:b/>
          <w:sz w:val="28"/>
        </w:rPr>
        <w:t xml:space="preserve">Tisková </w:t>
      </w:r>
      <w:r>
        <w:rPr>
          <w:b/>
          <w:sz w:val="28"/>
        </w:rPr>
        <w:t>informace</w:t>
      </w:r>
    </w:p>
    <w:p w14:paraId="2B1D7341" w14:textId="77777777" w:rsidR="00CF72EC" w:rsidRPr="00200F1D" w:rsidRDefault="00CF72EC" w:rsidP="004E6B68">
      <w:pPr>
        <w:spacing w:after="120" w:line="360" w:lineRule="auto"/>
        <w:jc w:val="center"/>
      </w:pPr>
      <w:r w:rsidRPr="00200F1D">
        <w:rPr>
          <w:b/>
        </w:rPr>
        <w:t>SDRUŽENÍ ČESKÝCH SPOTŘEBITELŮ</w:t>
      </w:r>
      <w:r>
        <w:t xml:space="preserve">, z. </w:t>
      </w:r>
      <w:proofErr w:type="spellStart"/>
      <w:r>
        <w:t>ú.</w:t>
      </w:r>
      <w:proofErr w:type="spellEnd"/>
    </w:p>
    <w:p w14:paraId="31B7DA55" w14:textId="2E0E8AC5" w:rsidR="00CF72EC" w:rsidRPr="002349B2" w:rsidRDefault="00CF72EC" w:rsidP="004E6B68">
      <w:pPr>
        <w:spacing w:after="120"/>
        <w:ind w:left="360"/>
        <w:jc w:val="center"/>
        <w:rPr>
          <w:rFonts w:cs="Calibri"/>
          <w:b/>
          <w:sz w:val="40"/>
        </w:rPr>
      </w:pPr>
      <w:r>
        <w:rPr>
          <w:rFonts w:cs="Calibri"/>
          <w:b/>
          <w:sz w:val="32"/>
        </w:rPr>
        <w:t>Dvojí kvalita na českém trhu potravin?</w:t>
      </w:r>
    </w:p>
    <w:p w14:paraId="414CC6E3" w14:textId="77777777" w:rsidR="00E349F0" w:rsidRPr="008B00D0" w:rsidRDefault="00CF72EC" w:rsidP="00703B45">
      <w:pPr>
        <w:spacing w:after="120"/>
        <w:rPr>
          <w:bCs/>
          <w:sz w:val="22"/>
        </w:rPr>
      </w:pPr>
      <w:r w:rsidRPr="008B00D0">
        <w:rPr>
          <w:bCs/>
          <w:sz w:val="22"/>
        </w:rPr>
        <w:t>Praha, 2017-0</w:t>
      </w:r>
      <w:r w:rsidRPr="008B00D0">
        <w:rPr>
          <w:bCs/>
          <w:sz w:val="22"/>
        </w:rPr>
        <w:t>7</w:t>
      </w:r>
      <w:r w:rsidRPr="008B00D0">
        <w:rPr>
          <w:bCs/>
          <w:sz w:val="22"/>
        </w:rPr>
        <w:t>-</w:t>
      </w:r>
      <w:r w:rsidRPr="008B00D0">
        <w:rPr>
          <w:bCs/>
          <w:sz w:val="22"/>
        </w:rPr>
        <w:t>11</w:t>
      </w:r>
      <w:r w:rsidRPr="008B00D0">
        <w:rPr>
          <w:bCs/>
          <w:sz w:val="22"/>
        </w:rPr>
        <w:t>; Pro Sdružení českých spotřebitelů (SČS) j</w:t>
      </w:r>
      <w:r w:rsidRPr="008B00D0">
        <w:rPr>
          <w:bCs/>
          <w:sz w:val="22"/>
        </w:rPr>
        <w:t>sou</w:t>
      </w:r>
      <w:r w:rsidRPr="008B00D0">
        <w:rPr>
          <w:bCs/>
          <w:sz w:val="22"/>
        </w:rPr>
        <w:t xml:space="preserve"> oblast</w:t>
      </w:r>
      <w:r w:rsidRPr="008B00D0">
        <w:rPr>
          <w:bCs/>
          <w:sz w:val="22"/>
        </w:rPr>
        <w:t>i</w:t>
      </w:r>
      <w:r w:rsidRPr="008B00D0">
        <w:rPr>
          <w:bCs/>
          <w:sz w:val="22"/>
        </w:rPr>
        <w:t xml:space="preserve"> kvality </w:t>
      </w:r>
      <w:r w:rsidRPr="008B00D0">
        <w:rPr>
          <w:bCs/>
          <w:sz w:val="22"/>
        </w:rPr>
        <w:t>výrobků a služeb předmětem řady aktivit a ve vztahu k </w:t>
      </w:r>
      <w:r w:rsidRPr="008B00D0">
        <w:rPr>
          <w:bCs/>
          <w:sz w:val="22"/>
        </w:rPr>
        <w:t>potravin</w:t>
      </w:r>
      <w:r w:rsidRPr="008B00D0">
        <w:rPr>
          <w:bCs/>
          <w:sz w:val="22"/>
        </w:rPr>
        <w:t>ám zvláště.</w:t>
      </w:r>
      <w:r w:rsidR="004E6B68" w:rsidRPr="008B00D0">
        <w:rPr>
          <w:bCs/>
          <w:sz w:val="22"/>
        </w:rPr>
        <w:t xml:space="preserve"> </w:t>
      </w:r>
    </w:p>
    <w:p w14:paraId="317C90D9" w14:textId="786F75E5" w:rsidR="00CF72EC" w:rsidRPr="008B00D0" w:rsidRDefault="00CF72EC" w:rsidP="00703B45">
      <w:pPr>
        <w:spacing w:after="120"/>
        <w:rPr>
          <w:bCs/>
          <w:sz w:val="22"/>
        </w:rPr>
      </w:pPr>
      <w:r w:rsidRPr="008B00D0">
        <w:rPr>
          <w:bCs/>
          <w:sz w:val="22"/>
        </w:rPr>
        <w:t>Základnou pro spolupráci na tomto poli je</w:t>
      </w:r>
      <w:r w:rsidRPr="008B00D0">
        <w:rPr>
          <w:bCs/>
          <w:sz w:val="22"/>
        </w:rPr>
        <w:t xml:space="preserve"> m</w:t>
      </w:r>
      <w:r w:rsidRPr="008B00D0">
        <w:rPr>
          <w:bCs/>
          <w:sz w:val="22"/>
        </w:rPr>
        <w:t xml:space="preserve">j. pracovní skupina Potraviny a </w:t>
      </w:r>
      <w:r w:rsidR="004E6B68" w:rsidRPr="008B00D0">
        <w:rPr>
          <w:bCs/>
          <w:sz w:val="22"/>
        </w:rPr>
        <w:t>s</w:t>
      </w:r>
      <w:r w:rsidRPr="008B00D0">
        <w:rPr>
          <w:bCs/>
          <w:sz w:val="22"/>
        </w:rPr>
        <w:t>potřebitel</w:t>
      </w:r>
      <w:r w:rsidR="00E349F0" w:rsidRPr="008B00D0">
        <w:rPr>
          <w:bCs/>
          <w:sz w:val="22"/>
        </w:rPr>
        <w:drawing>
          <wp:inline distT="0" distB="0" distL="0" distR="0" wp14:anchorId="1324D7B3" wp14:editId="077396DE">
            <wp:extent cx="409652" cy="227172"/>
            <wp:effectExtent l="19050" t="19050" r="9525" b="20955"/>
            <wp:docPr id="16388" name="Picture 8" descr="LogoCTP (2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8" descr="LogoCTP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" cy="2292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 w:rsidRPr="008B00D0">
        <w:rPr>
          <w:bCs/>
          <w:sz w:val="22"/>
        </w:rPr>
        <w:t>, jejíž činnost SČS koordinuje a řídí a která je ustavena při ČESKÉ TECHNOLOGICKÉ PLATFORMĚ PRO POTRAVINY (ČTPP).</w:t>
      </w:r>
    </w:p>
    <w:p w14:paraId="0C37C450" w14:textId="44376A16" w:rsidR="00941EDE" w:rsidRPr="008B00D0" w:rsidRDefault="00703B45" w:rsidP="002F21AB">
      <w:pPr>
        <w:spacing w:after="120" w:line="276" w:lineRule="auto"/>
        <w:jc w:val="both"/>
        <w:rPr>
          <w:bCs/>
          <w:sz w:val="22"/>
        </w:rPr>
      </w:pPr>
      <w:r w:rsidRPr="008B00D0">
        <w:rPr>
          <w:bCs/>
          <w:i/>
          <w:sz w:val="22"/>
        </w:rPr>
        <w:t>„</w:t>
      </w:r>
      <w:r w:rsidR="001372C0" w:rsidRPr="008B00D0">
        <w:rPr>
          <w:bCs/>
          <w:i/>
          <w:sz w:val="22"/>
        </w:rPr>
        <w:t>Je logické, že jsme se nemohli vyhnout ani tématu dvojí kvality na českém trhu. V jistých vlnách se téma vrací, přináší ho média i politici, kupodivu méně často spotřebitelské organizace</w:t>
      </w:r>
      <w:r w:rsidRPr="008B00D0">
        <w:rPr>
          <w:bCs/>
          <w:i/>
          <w:sz w:val="22"/>
        </w:rPr>
        <w:t>“,</w:t>
      </w:r>
      <w:r w:rsidR="001372C0" w:rsidRPr="008B00D0">
        <w:rPr>
          <w:bCs/>
          <w:sz w:val="22"/>
        </w:rPr>
        <w:t xml:space="preserve"> </w:t>
      </w:r>
      <w:r w:rsidRPr="008B00D0">
        <w:rPr>
          <w:bCs/>
          <w:sz w:val="22"/>
        </w:rPr>
        <w:t>vysvětluje Libor Dupal, předseda správní rady SČS.</w:t>
      </w:r>
      <w:r w:rsidRPr="008B00D0">
        <w:rPr>
          <w:bCs/>
          <w:sz w:val="22"/>
        </w:rPr>
        <w:t xml:space="preserve"> Zástupci SČS se v minulých měsících účastnili </w:t>
      </w:r>
      <w:r w:rsidR="002F21AB" w:rsidRPr="008B00D0">
        <w:rPr>
          <w:bCs/>
          <w:sz w:val="22"/>
        </w:rPr>
        <w:t xml:space="preserve">více </w:t>
      </w:r>
      <w:r w:rsidRPr="008B00D0">
        <w:rPr>
          <w:bCs/>
          <w:sz w:val="22"/>
        </w:rPr>
        <w:t>diskuzí a besed</w:t>
      </w:r>
      <w:r w:rsidR="002F21AB" w:rsidRPr="008B00D0">
        <w:rPr>
          <w:bCs/>
          <w:sz w:val="22"/>
        </w:rPr>
        <w:t xml:space="preserve">, </w:t>
      </w:r>
      <w:r w:rsidR="00DE6FCC">
        <w:rPr>
          <w:bCs/>
          <w:sz w:val="22"/>
        </w:rPr>
        <w:t xml:space="preserve">či </w:t>
      </w:r>
      <w:r w:rsidR="002F21AB" w:rsidRPr="008B00D0">
        <w:rPr>
          <w:bCs/>
          <w:sz w:val="22"/>
        </w:rPr>
        <w:t>odpovídali na dotazy</w:t>
      </w:r>
      <w:r w:rsidRPr="008B00D0">
        <w:rPr>
          <w:bCs/>
          <w:sz w:val="22"/>
        </w:rPr>
        <w:t xml:space="preserve"> do médií</w:t>
      </w:r>
      <w:r w:rsidR="002F21AB" w:rsidRPr="008B00D0">
        <w:rPr>
          <w:bCs/>
          <w:sz w:val="22"/>
        </w:rPr>
        <w:t xml:space="preserve">; </w:t>
      </w:r>
      <w:r w:rsidRPr="008B00D0">
        <w:rPr>
          <w:bCs/>
          <w:sz w:val="22"/>
        </w:rPr>
        <w:t xml:space="preserve">pokládají proto za vhodné nyní podat stručnou </w:t>
      </w:r>
      <w:r w:rsidR="002F21AB" w:rsidRPr="008B00D0">
        <w:rPr>
          <w:bCs/>
          <w:sz w:val="22"/>
        </w:rPr>
        <w:t>informaci, shrnující postoj k této věci.</w:t>
      </w:r>
    </w:p>
    <w:p w14:paraId="5272D999" w14:textId="2712B86B" w:rsidR="00941EDE" w:rsidRPr="008B00D0" w:rsidRDefault="00DE6FCC" w:rsidP="00F9425A">
      <w:pPr>
        <w:spacing w:after="120" w:line="276" w:lineRule="auto"/>
        <w:jc w:val="both"/>
        <w:rPr>
          <w:bCs/>
          <w:sz w:val="22"/>
        </w:rPr>
      </w:pPr>
      <w:r>
        <w:rPr>
          <w:bCs/>
          <w:sz w:val="22"/>
        </w:rPr>
        <w:t xml:space="preserve">SČS je </w:t>
      </w:r>
      <w:r w:rsidR="002F21AB" w:rsidRPr="008B00D0">
        <w:rPr>
          <w:bCs/>
          <w:sz w:val="22"/>
        </w:rPr>
        <w:t>jednoznačn</w:t>
      </w:r>
      <w:r>
        <w:rPr>
          <w:bCs/>
          <w:sz w:val="22"/>
        </w:rPr>
        <w:t>ého</w:t>
      </w:r>
      <w:r w:rsidR="002F21AB" w:rsidRPr="008B00D0">
        <w:rPr>
          <w:bCs/>
          <w:sz w:val="22"/>
        </w:rPr>
        <w:t xml:space="preserve"> názor</w:t>
      </w:r>
      <w:r>
        <w:rPr>
          <w:bCs/>
          <w:sz w:val="22"/>
        </w:rPr>
        <w:t>u</w:t>
      </w:r>
      <w:r w:rsidR="002F21AB" w:rsidRPr="008B00D0">
        <w:rPr>
          <w:bCs/>
          <w:sz w:val="22"/>
        </w:rPr>
        <w:t xml:space="preserve">, že pokud je na trhu výrobek, zavedený pod </w:t>
      </w:r>
      <w:r w:rsidR="001E3C15" w:rsidRPr="008B00D0">
        <w:rPr>
          <w:bCs/>
          <w:sz w:val="22"/>
        </w:rPr>
        <w:t xml:space="preserve">určitým všeobecně známým názvem, značkou, grafickým vyobrazením atp., je klamáním spotřebitele (nekalou praktikou), pokud je na různé trhy uváděn s různými vlastnostmi, zejména ve vztahu k jeho složení. </w:t>
      </w:r>
      <w:r w:rsidR="001E3C15" w:rsidRPr="008B00D0">
        <w:rPr>
          <w:bCs/>
          <w:sz w:val="22"/>
        </w:rPr>
        <w:t>A to zejména, pokud je důvodný předpoklad, že odlišná receptura může mít významný vliv nejen na kvalitu, ale také na cenu.</w:t>
      </w:r>
      <w:r w:rsidR="001E3C15" w:rsidRPr="008B00D0">
        <w:rPr>
          <w:bCs/>
          <w:sz w:val="22"/>
        </w:rPr>
        <w:t xml:space="preserve"> A to i přesto, že v označení je správné složení uvedeno. </w:t>
      </w:r>
      <w:r>
        <w:rPr>
          <w:bCs/>
          <w:sz w:val="22"/>
        </w:rPr>
        <w:t xml:space="preserve"> </w:t>
      </w:r>
      <w:r w:rsidR="00F9425A" w:rsidRPr="008B00D0">
        <w:rPr>
          <w:bCs/>
          <w:sz w:val="22"/>
        </w:rPr>
        <w:t>V dalším se pokusíme tento názor vysvětlit.</w:t>
      </w:r>
    </w:p>
    <w:p w14:paraId="3EF03E96" w14:textId="11DBAC11" w:rsidR="00F9425A" w:rsidRPr="008B00D0" w:rsidRDefault="00DE6FCC" w:rsidP="00F9425A">
      <w:pPr>
        <w:spacing w:after="120" w:line="276" w:lineRule="auto"/>
        <w:jc w:val="both"/>
        <w:rPr>
          <w:bCs/>
          <w:sz w:val="22"/>
        </w:rPr>
      </w:pPr>
      <w:r>
        <w:rPr>
          <w:bCs/>
          <w:i/>
          <w:sz w:val="22"/>
        </w:rPr>
        <w:t>„</w:t>
      </w:r>
      <w:r w:rsidR="00F9425A" w:rsidRPr="00DE6FCC">
        <w:rPr>
          <w:bCs/>
          <w:i/>
          <w:sz w:val="22"/>
        </w:rPr>
        <w:t xml:space="preserve">Byli jsme </w:t>
      </w:r>
      <w:r w:rsidRPr="00DE6FCC">
        <w:rPr>
          <w:bCs/>
          <w:i/>
          <w:sz w:val="22"/>
        </w:rPr>
        <w:t xml:space="preserve">opakovaně </w:t>
      </w:r>
      <w:r w:rsidR="00F9425A" w:rsidRPr="00DE6FCC">
        <w:rPr>
          <w:bCs/>
          <w:i/>
          <w:sz w:val="22"/>
        </w:rPr>
        <w:t>dotazováni, zda správné označení složení výrobku není dostatečnou informací pro spotřebitele, aby se rozhodl při výběru</w:t>
      </w:r>
      <w:r w:rsidR="00F9425A" w:rsidRPr="008B00D0">
        <w:rPr>
          <w:bCs/>
          <w:sz w:val="22"/>
        </w:rPr>
        <w:t xml:space="preserve">. </w:t>
      </w:r>
      <w:r w:rsidR="00F9425A" w:rsidRPr="00DE6FCC">
        <w:rPr>
          <w:bCs/>
          <w:i/>
          <w:sz w:val="22"/>
        </w:rPr>
        <w:t>To samozřejmě obecně platí</w:t>
      </w:r>
      <w:r>
        <w:rPr>
          <w:bCs/>
          <w:i/>
          <w:sz w:val="22"/>
        </w:rPr>
        <w:t xml:space="preserve">“, </w:t>
      </w:r>
      <w:r w:rsidRPr="00DE6FCC">
        <w:rPr>
          <w:bCs/>
          <w:sz w:val="22"/>
        </w:rPr>
        <w:t>vysvětluje dále Dupal</w:t>
      </w:r>
      <w:r w:rsidR="00F9425A" w:rsidRPr="00DE6FCC">
        <w:rPr>
          <w:bCs/>
          <w:sz w:val="22"/>
        </w:rPr>
        <w:t>.</w:t>
      </w:r>
      <w:r w:rsidR="00F9425A" w:rsidRPr="008B00D0">
        <w:rPr>
          <w:bCs/>
          <w:sz w:val="22"/>
        </w:rPr>
        <w:t xml:space="preserve"> </w:t>
      </w:r>
      <w:r w:rsidR="00724AFF" w:rsidRPr="008B00D0">
        <w:rPr>
          <w:bCs/>
          <w:sz w:val="22"/>
        </w:rPr>
        <w:t xml:space="preserve">A SČS velmi prosazuje osobní zodpovědnost každého spotřebitele za vlastní rozhodování, a </w:t>
      </w:r>
      <w:r>
        <w:rPr>
          <w:bCs/>
          <w:sz w:val="22"/>
        </w:rPr>
        <w:t xml:space="preserve">navíc </w:t>
      </w:r>
      <w:r w:rsidR="00724AFF" w:rsidRPr="008B00D0">
        <w:rPr>
          <w:bCs/>
          <w:sz w:val="22"/>
        </w:rPr>
        <w:t xml:space="preserve">se ho </w:t>
      </w:r>
      <w:r w:rsidRPr="008B00D0">
        <w:rPr>
          <w:bCs/>
          <w:sz w:val="22"/>
        </w:rPr>
        <w:t xml:space="preserve">snažíme </w:t>
      </w:r>
      <w:r w:rsidR="00724AFF" w:rsidRPr="008B00D0">
        <w:rPr>
          <w:bCs/>
          <w:sz w:val="22"/>
        </w:rPr>
        <w:t>vzdělávat tak, aby se ve stupních kvality dokázal aktivně orientovat a skutečně zodpovědně zvažoval</w:t>
      </w:r>
      <w:r w:rsidR="009F23FB" w:rsidRPr="008B00D0">
        <w:rPr>
          <w:bCs/>
          <w:sz w:val="22"/>
        </w:rPr>
        <w:t>,</w:t>
      </w:r>
      <w:r w:rsidR="00724AFF" w:rsidRPr="008B00D0">
        <w:rPr>
          <w:bCs/>
          <w:sz w:val="22"/>
        </w:rPr>
        <w:t xml:space="preserve"> zda mu jde </w:t>
      </w:r>
      <w:r w:rsidR="009875BC">
        <w:rPr>
          <w:bCs/>
          <w:sz w:val="22"/>
        </w:rPr>
        <w:t xml:space="preserve">při nákupu </w:t>
      </w:r>
      <w:r w:rsidR="00724AFF" w:rsidRPr="008B00D0">
        <w:rPr>
          <w:bCs/>
          <w:sz w:val="22"/>
        </w:rPr>
        <w:t xml:space="preserve">o vyšší úroveň kvality či o cenu. K tomu se </w:t>
      </w:r>
      <w:r>
        <w:rPr>
          <w:bCs/>
          <w:sz w:val="22"/>
        </w:rPr>
        <w:t xml:space="preserve">ostatně </w:t>
      </w:r>
      <w:r w:rsidR="00724AFF" w:rsidRPr="008B00D0">
        <w:rPr>
          <w:bCs/>
          <w:sz w:val="22"/>
        </w:rPr>
        <w:t>ještě vrátíme v závěru této tiskové informace.</w:t>
      </w:r>
    </w:p>
    <w:p w14:paraId="2E00CBF6" w14:textId="3364CC49" w:rsidR="00724AFF" w:rsidRPr="008B00D0" w:rsidRDefault="009F23FB" w:rsidP="00F9425A">
      <w:pPr>
        <w:spacing w:after="120" w:line="276" w:lineRule="auto"/>
        <w:jc w:val="both"/>
        <w:rPr>
          <w:bCs/>
          <w:sz w:val="22"/>
        </w:rPr>
      </w:pPr>
      <w:r w:rsidRPr="008B00D0">
        <w:rPr>
          <w:bCs/>
          <w:sz w:val="22"/>
        </w:rPr>
        <w:t xml:space="preserve">Problém je, že – například </w:t>
      </w:r>
      <w:r w:rsidR="00B93D9A" w:rsidRPr="008B00D0">
        <w:rPr>
          <w:bCs/>
          <w:sz w:val="22"/>
        </w:rPr>
        <w:t xml:space="preserve">– </w:t>
      </w:r>
      <w:r w:rsidRPr="008B00D0">
        <w:rPr>
          <w:bCs/>
          <w:sz w:val="22"/>
        </w:rPr>
        <w:t>při výběru světově proslulé čokolády, spotřebitel nemůže předpokládat, že pro jeden trh výrobek obsahuje kak</w:t>
      </w:r>
      <w:r w:rsidR="00826AEF" w:rsidRPr="008B00D0">
        <w:rPr>
          <w:bCs/>
          <w:sz w:val="22"/>
        </w:rPr>
        <w:t xml:space="preserve">aové máslo, pro jiný náhražku. I když ta je v označení uvedena, logicky se spotřebitel bude cítit oklamán, když se </w:t>
      </w:r>
      <w:r w:rsidR="00DE6FCC">
        <w:rPr>
          <w:bCs/>
          <w:sz w:val="22"/>
        </w:rPr>
        <w:t xml:space="preserve">o </w:t>
      </w:r>
      <w:r w:rsidR="00826AEF" w:rsidRPr="008B00D0">
        <w:rPr>
          <w:bCs/>
          <w:sz w:val="22"/>
        </w:rPr>
        <w:t>odlišné receptuře následně dozví. Byl přesvědčen, že koupil dárek nejvyšší kvality a realita je pak jiná. V takovém případě je totiž spotřebiteli zárukou nikoliv údaj o složení</w:t>
      </w:r>
      <w:r w:rsidR="00B93D9A" w:rsidRPr="008B00D0">
        <w:rPr>
          <w:bCs/>
          <w:sz w:val="22"/>
        </w:rPr>
        <w:t>,</w:t>
      </w:r>
      <w:r w:rsidR="00826AEF" w:rsidRPr="008B00D0">
        <w:rPr>
          <w:bCs/>
          <w:sz w:val="22"/>
        </w:rPr>
        <w:t xml:space="preserve"> ale </w:t>
      </w:r>
      <w:r w:rsidR="00B93D9A" w:rsidRPr="008B00D0">
        <w:rPr>
          <w:bCs/>
          <w:sz w:val="22"/>
        </w:rPr>
        <w:t>„</w:t>
      </w:r>
      <w:r w:rsidR="00826AEF" w:rsidRPr="008B00D0">
        <w:rPr>
          <w:bCs/>
          <w:sz w:val="22"/>
        </w:rPr>
        <w:t>značka</w:t>
      </w:r>
      <w:r w:rsidR="00B93D9A" w:rsidRPr="008B00D0">
        <w:rPr>
          <w:bCs/>
          <w:sz w:val="22"/>
        </w:rPr>
        <w:t xml:space="preserve">“, label, </w:t>
      </w:r>
      <w:r w:rsidR="009875BC">
        <w:rPr>
          <w:bCs/>
          <w:sz w:val="22"/>
        </w:rPr>
        <w:t xml:space="preserve">důvěryhodnost </w:t>
      </w:r>
      <w:r w:rsidR="00B93D9A" w:rsidRPr="008B00D0">
        <w:rPr>
          <w:bCs/>
          <w:sz w:val="22"/>
        </w:rPr>
        <w:t>výrobce</w:t>
      </w:r>
      <w:r w:rsidR="00826AEF" w:rsidRPr="008B00D0">
        <w:rPr>
          <w:bCs/>
          <w:sz w:val="22"/>
        </w:rPr>
        <w:t xml:space="preserve">. </w:t>
      </w:r>
      <w:r w:rsidR="00B93D9A" w:rsidRPr="008B00D0">
        <w:rPr>
          <w:bCs/>
          <w:sz w:val="22"/>
        </w:rPr>
        <w:t>Ani velmi dobře informovaný spotře</w:t>
      </w:r>
      <w:r w:rsidR="00415100" w:rsidRPr="008B00D0">
        <w:rPr>
          <w:bCs/>
          <w:sz w:val="22"/>
        </w:rPr>
        <w:t>bitel nezná a nemůže znát detailní recepturu např. kolového nápoje, který zná ze zahraničí a nepředpokládá, že nápoj prodávaný „doma“ neobsahuje cukr, ale cukerný sirup. A je dokonce podružné, že chuťově výrobky možná nerozliší.</w:t>
      </w:r>
    </w:p>
    <w:p w14:paraId="1086371E" w14:textId="7B7F3746" w:rsidR="00415100" w:rsidRPr="008B00D0" w:rsidRDefault="00415100" w:rsidP="00F9425A">
      <w:pPr>
        <w:spacing w:after="120" w:line="276" w:lineRule="auto"/>
        <w:jc w:val="both"/>
        <w:rPr>
          <w:bCs/>
          <w:sz w:val="22"/>
        </w:rPr>
      </w:pPr>
      <w:r w:rsidRPr="008B00D0">
        <w:rPr>
          <w:bCs/>
          <w:sz w:val="22"/>
        </w:rPr>
        <w:t>Dějí se vlastně takové věci, jak uvádíme v předcházejících hypotetických příkladech? Podle našeho názoru dějí</w:t>
      </w:r>
      <w:r w:rsidR="008E5EE5" w:rsidRPr="008B00D0">
        <w:rPr>
          <w:bCs/>
          <w:sz w:val="22"/>
        </w:rPr>
        <w:t>,</w:t>
      </w:r>
      <w:r w:rsidRPr="008B00D0">
        <w:rPr>
          <w:bCs/>
          <w:sz w:val="22"/>
        </w:rPr>
        <w:t xml:space="preserve"> ale nemáme jiné důkazy, než že velmi sporadicky. Před několika lety bylo několik případů zaznamenáno, ale pro velké nadnárodní výrobce by takový přístup byl </w:t>
      </w:r>
      <w:r w:rsidR="008E5EE5" w:rsidRPr="008B00D0">
        <w:rPr>
          <w:bCs/>
          <w:sz w:val="22"/>
        </w:rPr>
        <w:t>nesmírně rizikový z hlediska ztráty kredibility na trhu</w:t>
      </w:r>
      <w:r w:rsidR="00957594" w:rsidRPr="008B00D0">
        <w:rPr>
          <w:bCs/>
          <w:sz w:val="22"/>
        </w:rPr>
        <w:t>, neboť mediálně jsou tato témata silně zviditelňována.</w:t>
      </w:r>
    </w:p>
    <w:p w14:paraId="710DA91F" w14:textId="4CEC76F4" w:rsidR="00957594" w:rsidRPr="008B00D0" w:rsidRDefault="00957594" w:rsidP="00F9425A">
      <w:pPr>
        <w:spacing w:after="120" w:line="276" w:lineRule="auto"/>
        <w:jc w:val="both"/>
        <w:rPr>
          <w:bCs/>
          <w:sz w:val="22"/>
        </w:rPr>
      </w:pPr>
      <w:r w:rsidRPr="008B00D0">
        <w:rPr>
          <w:bCs/>
          <w:sz w:val="22"/>
        </w:rPr>
        <w:t>Když naznačujeme, že téma není až tak živé, kde se</w:t>
      </w:r>
      <w:r w:rsidR="009875BC">
        <w:rPr>
          <w:bCs/>
          <w:sz w:val="22"/>
        </w:rPr>
        <w:t xml:space="preserve"> stále</w:t>
      </w:r>
      <w:r w:rsidRPr="008B00D0">
        <w:rPr>
          <w:bCs/>
          <w:sz w:val="22"/>
        </w:rPr>
        <w:t xml:space="preserve"> „bere“, proč se </w:t>
      </w:r>
      <w:r w:rsidR="009875BC">
        <w:rPr>
          <w:bCs/>
          <w:sz w:val="22"/>
        </w:rPr>
        <w:t>vrací</w:t>
      </w:r>
      <w:r w:rsidRPr="008B00D0">
        <w:rPr>
          <w:bCs/>
          <w:sz w:val="22"/>
        </w:rPr>
        <w:t>?</w:t>
      </w:r>
    </w:p>
    <w:p w14:paraId="413FE5DA" w14:textId="277EEBEC" w:rsidR="00957594" w:rsidRPr="008B00D0" w:rsidRDefault="00957594" w:rsidP="00F9425A">
      <w:pPr>
        <w:spacing w:after="120" w:line="276" w:lineRule="auto"/>
        <w:jc w:val="both"/>
        <w:rPr>
          <w:bCs/>
          <w:sz w:val="22"/>
        </w:rPr>
      </w:pPr>
      <w:r w:rsidRPr="008B00D0">
        <w:rPr>
          <w:bCs/>
          <w:sz w:val="22"/>
        </w:rPr>
        <w:t xml:space="preserve">Podle našich zkušeností </w:t>
      </w:r>
      <w:r w:rsidR="009875BC">
        <w:rPr>
          <w:bCs/>
          <w:sz w:val="22"/>
        </w:rPr>
        <w:t>bývají</w:t>
      </w:r>
      <w:r w:rsidRPr="008B00D0">
        <w:rPr>
          <w:bCs/>
          <w:sz w:val="22"/>
        </w:rPr>
        <w:t xml:space="preserve"> výsledky případných průzkumů a testů </w:t>
      </w:r>
      <w:r w:rsidR="009875BC">
        <w:rPr>
          <w:bCs/>
          <w:sz w:val="22"/>
        </w:rPr>
        <w:t>poněkud zkreslovány</w:t>
      </w:r>
      <w:r w:rsidRPr="008B00D0">
        <w:rPr>
          <w:bCs/>
          <w:sz w:val="22"/>
        </w:rPr>
        <w:t xml:space="preserve"> tím, že se zdůrazňují případy negativních zjištění, které jsou v komplexu průzkumů spíše výjimečné. Typické to bylo před několika měsíci v případě Slovenska. </w:t>
      </w:r>
    </w:p>
    <w:p w14:paraId="17C2DF47" w14:textId="1A10493C" w:rsidR="008E5EE5" w:rsidRPr="008B00D0" w:rsidRDefault="00957594" w:rsidP="00F9425A">
      <w:pPr>
        <w:spacing w:after="120" w:line="276" w:lineRule="auto"/>
        <w:jc w:val="both"/>
        <w:rPr>
          <w:bCs/>
          <w:sz w:val="22"/>
        </w:rPr>
      </w:pPr>
      <w:r w:rsidRPr="008B00D0">
        <w:rPr>
          <w:bCs/>
          <w:sz w:val="22"/>
        </w:rPr>
        <w:lastRenderedPageBreak/>
        <w:t>A dalším aspektem je dle našeho názoru následující: Jako hlavní důvod případné dvojí kvality</w:t>
      </w:r>
      <w:r w:rsidR="003A20B0" w:rsidRPr="008B00D0">
        <w:rPr>
          <w:bCs/>
          <w:sz w:val="22"/>
        </w:rPr>
        <w:t xml:space="preserve"> potravin na trhu, je tlak obchodu na co nejnižší cenu výrobku. Výrobce vyhoví, třeba i na úkor kvality. Jak ale uvedeno výše, pro velkého nadnárodního výrobce by to bylo veliké riziko. Co menší výrobce?</w:t>
      </w:r>
      <w:r w:rsidRPr="008B00D0">
        <w:rPr>
          <w:bCs/>
          <w:sz w:val="22"/>
        </w:rPr>
        <w:t xml:space="preserve"> </w:t>
      </w:r>
    </w:p>
    <w:p w14:paraId="1BCF4752" w14:textId="5C1208A4" w:rsidR="002C6C91" w:rsidRPr="008B00D0" w:rsidRDefault="003A20B0" w:rsidP="00F9425A">
      <w:pPr>
        <w:spacing w:after="120" w:line="276" w:lineRule="auto"/>
        <w:jc w:val="both"/>
        <w:rPr>
          <w:bCs/>
          <w:sz w:val="22"/>
        </w:rPr>
      </w:pPr>
      <w:r w:rsidRPr="008B00D0">
        <w:rPr>
          <w:bCs/>
          <w:sz w:val="22"/>
        </w:rPr>
        <w:t xml:space="preserve">Jeden kolega nás před časem informoval o svých zkušenostech, které získal v německých masných provozech. </w:t>
      </w:r>
      <w:r w:rsidR="009875BC">
        <w:rPr>
          <w:bCs/>
          <w:sz w:val="22"/>
        </w:rPr>
        <w:t>Byl svědkem, že p</w:t>
      </w:r>
      <w:r w:rsidRPr="008B00D0">
        <w:rPr>
          <w:bCs/>
          <w:sz w:val="22"/>
        </w:rPr>
        <w:t xml:space="preserve">ro český trh vyrábí nižší kvalitu masných výrobků, než pro své spotřebitele. Jak je to zde s klamáním spotřebitele? </w:t>
      </w:r>
      <w:r w:rsidR="00D607A8" w:rsidRPr="008B00D0">
        <w:rPr>
          <w:bCs/>
          <w:sz w:val="22"/>
        </w:rPr>
        <w:t>Lokální masn</w:t>
      </w:r>
      <w:r w:rsidR="002C6C91" w:rsidRPr="008B00D0">
        <w:rPr>
          <w:bCs/>
          <w:sz w:val="22"/>
        </w:rPr>
        <w:t xml:space="preserve">a </w:t>
      </w:r>
      <w:r w:rsidR="002C6C91" w:rsidRPr="008B00D0">
        <w:rPr>
          <w:bCs/>
          <w:sz w:val="22"/>
        </w:rPr>
        <w:t xml:space="preserve">v Bavorech </w:t>
      </w:r>
      <w:r w:rsidR="002C6C91" w:rsidRPr="008B00D0">
        <w:rPr>
          <w:bCs/>
          <w:sz w:val="22"/>
        </w:rPr>
        <w:t xml:space="preserve">prostě vyrobí to, co po ní odběratel </w:t>
      </w:r>
      <w:r w:rsidR="009875BC">
        <w:rPr>
          <w:bCs/>
          <w:sz w:val="22"/>
        </w:rPr>
        <w:t xml:space="preserve">– tu německý, tu český - </w:t>
      </w:r>
      <w:r w:rsidR="002C6C91" w:rsidRPr="008B00D0">
        <w:rPr>
          <w:bCs/>
          <w:sz w:val="22"/>
        </w:rPr>
        <w:t xml:space="preserve">požaduje. Spotřebitel si v takovém případě </w:t>
      </w:r>
      <w:r w:rsidR="002B41AB">
        <w:rPr>
          <w:bCs/>
          <w:sz w:val="22"/>
        </w:rPr>
        <w:t xml:space="preserve">snadno </w:t>
      </w:r>
      <w:r w:rsidR="002C6C91" w:rsidRPr="008B00D0">
        <w:rPr>
          <w:bCs/>
          <w:sz w:val="22"/>
        </w:rPr>
        <w:t>přečte, zde výrobek obsahuje 90</w:t>
      </w:r>
      <w:r w:rsidR="009875BC">
        <w:rPr>
          <w:bCs/>
          <w:sz w:val="22"/>
        </w:rPr>
        <w:t xml:space="preserve"> </w:t>
      </w:r>
      <w:r w:rsidR="009875BC" w:rsidRPr="008B00D0">
        <w:rPr>
          <w:bCs/>
          <w:sz w:val="22"/>
        </w:rPr>
        <w:t>%</w:t>
      </w:r>
      <w:r w:rsidR="009875BC">
        <w:rPr>
          <w:bCs/>
          <w:sz w:val="22"/>
        </w:rPr>
        <w:t>,</w:t>
      </w:r>
      <w:r w:rsidR="009875BC" w:rsidRPr="008B00D0">
        <w:rPr>
          <w:bCs/>
          <w:sz w:val="22"/>
        </w:rPr>
        <w:t xml:space="preserve"> </w:t>
      </w:r>
      <w:r w:rsidR="009875BC">
        <w:rPr>
          <w:bCs/>
          <w:sz w:val="22"/>
        </w:rPr>
        <w:t>a</w:t>
      </w:r>
      <w:r w:rsidR="002C6C91" w:rsidRPr="008B00D0">
        <w:rPr>
          <w:bCs/>
          <w:sz w:val="22"/>
        </w:rPr>
        <w:t>nebo 75 % masa a rozhodne se srovnáním podobných výrobků na pultu … Srovnávat zde výrobek na trhu v Německu a v Česku považujeme za zbytečné</w:t>
      </w:r>
      <w:r w:rsidR="002B41AB">
        <w:rPr>
          <w:bCs/>
          <w:sz w:val="22"/>
        </w:rPr>
        <w:t xml:space="preserve"> a hlavně za zavádějící</w:t>
      </w:r>
      <w:r w:rsidR="002C6C91" w:rsidRPr="008B00D0">
        <w:rPr>
          <w:bCs/>
          <w:sz w:val="22"/>
        </w:rPr>
        <w:t>.</w:t>
      </w:r>
    </w:p>
    <w:p w14:paraId="38224C06" w14:textId="3AE25B43" w:rsidR="008E5EE5" w:rsidRDefault="002C6C91" w:rsidP="00F9425A">
      <w:pPr>
        <w:spacing w:after="120" w:line="276" w:lineRule="auto"/>
        <w:jc w:val="both"/>
        <w:rPr>
          <w:bCs/>
          <w:sz w:val="22"/>
        </w:rPr>
      </w:pPr>
      <w:r w:rsidRPr="008B00D0">
        <w:rPr>
          <w:bCs/>
          <w:sz w:val="22"/>
        </w:rPr>
        <w:t xml:space="preserve">SČS vnímá pozitivně zájem médií o toto téma, neboť to </w:t>
      </w:r>
      <w:r w:rsidR="002B41AB">
        <w:rPr>
          <w:bCs/>
          <w:sz w:val="22"/>
        </w:rPr>
        <w:t>spolu</w:t>
      </w:r>
      <w:r w:rsidR="008B00D0" w:rsidRPr="008B00D0">
        <w:rPr>
          <w:bCs/>
          <w:sz w:val="22"/>
        </w:rPr>
        <w:t>vytváří tlak na výrobu i obchod, aby se kvalitě věnovaly více a zodpovědněji. Pozornost politiků nám přijde ovšem poněkud licoměrná, neboť nemáme za to, že se jedná o problematiku vyžadující zvyšování regulace. Jejich snahu zviditelňovat se ovšem chápeme…</w:t>
      </w:r>
    </w:p>
    <w:p w14:paraId="27E0D024" w14:textId="087409D4" w:rsidR="00E134E0" w:rsidRPr="008B00D0" w:rsidRDefault="00E134E0" w:rsidP="00F9425A">
      <w:pPr>
        <w:spacing w:after="120" w:line="276" w:lineRule="auto"/>
        <w:jc w:val="both"/>
        <w:rPr>
          <w:bCs/>
          <w:sz w:val="22"/>
        </w:rPr>
      </w:pPr>
      <w:r>
        <w:rPr>
          <w:bCs/>
          <w:sz w:val="22"/>
        </w:rPr>
        <w:t xml:space="preserve">Znovu ale podotýkáme, že téma dvojí kvality podceňovat nelze. Naši spotřebitelé </w:t>
      </w:r>
      <w:r w:rsidR="00A4423A">
        <w:rPr>
          <w:bCs/>
          <w:sz w:val="22"/>
        </w:rPr>
        <w:t xml:space="preserve">zejména </w:t>
      </w:r>
      <w:r>
        <w:rPr>
          <w:bCs/>
          <w:sz w:val="22"/>
        </w:rPr>
        <w:t xml:space="preserve">v příhraničních regionech </w:t>
      </w:r>
      <w:r w:rsidR="00A4423A">
        <w:rPr>
          <w:bCs/>
          <w:sz w:val="22"/>
        </w:rPr>
        <w:t xml:space="preserve">ho vnímají citlivě a jsou upřímně přesvědčeni, že několik kilometrů za hranicemi nakupují kvalitněji. </w:t>
      </w:r>
      <w:bookmarkStart w:id="0" w:name="_GoBack"/>
      <w:bookmarkEnd w:id="0"/>
    </w:p>
    <w:p w14:paraId="5AED1D4F" w14:textId="15E2E05C" w:rsidR="00E349F0" w:rsidRPr="008B00D0" w:rsidRDefault="00E349F0" w:rsidP="00E349F0">
      <w:pPr>
        <w:spacing w:after="120" w:line="276" w:lineRule="auto"/>
        <w:jc w:val="both"/>
        <w:rPr>
          <w:bCs/>
          <w:sz w:val="22"/>
        </w:rPr>
      </w:pPr>
      <w:r w:rsidRPr="008B00D0">
        <w:rPr>
          <w:bCs/>
          <w:sz w:val="22"/>
        </w:rPr>
        <w:t xml:space="preserve">Tuto krátkou tiskovou informaci doplňujeme bližším připomenutím edice „Jak poznáme kvalitu?“, </w:t>
      </w:r>
      <w:r w:rsidRPr="008B00D0">
        <w:rPr>
          <w:bCs/>
          <w:sz w:val="22"/>
        </w:rPr>
        <w:t>Naše publikace, jejichž vydávání je podpořeno ČTPP</w:t>
      </w:r>
      <w:r w:rsidR="002C6C91" w:rsidRPr="008B00D0">
        <w:rPr>
          <w:bCs/>
          <w:sz w:val="22"/>
        </w:rPr>
        <w:t xml:space="preserve">, </w:t>
      </w:r>
      <w:r w:rsidRPr="008B00D0">
        <w:rPr>
          <w:bCs/>
          <w:sz w:val="22"/>
        </w:rPr>
        <w:t>mají podporovat vnímání kvality potravin včetně identifikace určujících kvalitativních činitelů při výběru potravin. Edice je každoročně rozšiřována o další komodity potravin na trhu a jejími autory jsou vždy odborníci z daného oboru. Počet titulů už je ve třetí desítce, v roce 2016 byla řada doplněna o témata luštěnin a obilovin, čaje, nealkoholických nápojů a v neposlední řadě i o titul „Vyvážená strava a zdraví“. Letos budou publikace zaměřeny na oblasti s</w:t>
      </w:r>
      <w:r w:rsidR="002B41AB">
        <w:rPr>
          <w:bCs/>
          <w:sz w:val="22"/>
        </w:rPr>
        <w:t>ó</w:t>
      </w:r>
      <w:r w:rsidRPr="008B00D0">
        <w:rPr>
          <w:bCs/>
          <w:sz w:val="22"/>
        </w:rPr>
        <w:t xml:space="preserve">jových výrobků, ryb a rybích výrobků, piva, kávy, mražených krémů a na vliv kulinárních úprav potraviny na nutriční hodnotu. Tituly edice jsou vystavovány </w:t>
      </w:r>
      <w:hyperlink r:id="rId10" w:history="1">
        <w:r w:rsidRPr="008B00D0">
          <w:rPr>
            <w:rStyle w:val="Hypertextovodkaz"/>
            <w:bCs/>
            <w:sz w:val="22"/>
          </w:rPr>
          <w:t>zde</w:t>
        </w:r>
      </w:hyperlink>
      <w:r w:rsidRPr="008B00D0">
        <w:rPr>
          <w:bCs/>
          <w:sz w:val="22"/>
        </w:rPr>
        <w:t>.</w:t>
      </w:r>
    </w:p>
    <w:p w14:paraId="558A49CC" w14:textId="77777777" w:rsidR="00E349F0" w:rsidRPr="008B00D0" w:rsidRDefault="00E349F0" w:rsidP="00E349F0">
      <w:pPr>
        <w:jc w:val="both"/>
        <w:rPr>
          <w:bCs/>
          <w:sz w:val="22"/>
        </w:rPr>
      </w:pPr>
      <w:r w:rsidRPr="008B00D0">
        <w:rPr>
          <w:bCs/>
          <w:sz w:val="22"/>
        </w:rPr>
        <w:t>Kontakt:</w:t>
      </w:r>
    </w:p>
    <w:p w14:paraId="353DF8BE" w14:textId="77777777" w:rsidR="00E349F0" w:rsidRDefault="00E349F0" w:rsidP="00E349F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Libor Dupal, </w:t>
      </w:r>
      <w:hyperlink r:id="rId11" w:history="1">
        <w:r w:rsidRPr="00F247A9">
          <w:rPr>
            <w:rStyle w:val="Hypertextovodkaz"/>
            <w:sz w:val="22"/>
            <w:szCs w:val="22"/>
          </w:rPr>
          <w:t>dupal@regio.cz</w:t>
        </w:r>
      </w:hyperlink>
      <w:r>
        <w:rPr>
          <w:sz w:val="22"/>
          <w:szCs w:val="22"/>
        </w:rPr>
        <w:t>, mob. 602561856</w:t>
      </w:r>
    </w:p>
    <w:p w14:paraId="257C5E80" w14:textId="77777777" w:rsidR="00E349F0" w:rsidRPr="00F93CF2" w:rsidRDefault="00E349F0" w:rsidP="00E349F0">
      <w:pPr>
        <w:jc w:val="both"/>
        <w:rPr>
          <w:bCs/>
        </w:rPr>
      </w:pPr>
      <w:hyperlink r:id="rId12" w:history="1">
        <w:r w:rsidRPr="00F93CF2">
          <w:rPr>
            <w:bCs/>
          </w:rPr>
          <w:t>http://www.konzument.cz/</w:t>
        </w:r>
      </w:hyperlink>
    </w:p>
    <w:p w14:paraId="2F42274C" w14:textId="77777777" w:rsidR="00E349F0" w:rsidRPr="00F93CF2" w:rsidRDefault="00E349F0" w:rsidP="00E349F0">
      <w:pPr>
        <w:jc w:val="both"/>
        <w:rPr>
          <w:bCs/>
        </w:rPr>
      </w:pPr>
      <w:hyperlink r:id="rId13" w:history="1">
        <w:r w:rsidRPr="00F93CF2">
          <w:rPr>
            <w:bCs/>
          </w:rPr>
          <w:t>http://spotrebitelzakvalitou.cz/index.php</w:t>
        </w:r>
      </w:hyperlink>
      <w:r w:rsidRPr="00F93CF2">
        <w:rPr>
          <w:bCs/>
        </w:rPr>
        <w:t xml:space="preserve">           </w:t>
      </w:r>
    </w:p>
    <w:p w14:paraId="2899957E" w14:textId="77E9D0CF" w:rsidR="00941EDE" w:rsidRDefault="00E349F0" w:rsidP="00E349F0">
      <w:pPr>
        <w:spacing w:after="120"/>
        <w:rPr>
          <w:b/>
          <w:bCs/>
        </w:rPr>
      </w:pPr>
      <w:hyperlink r:id="rId14" w:history="1">
        <w:r w:rsidRPr="00F93CF2">
          <w:rPr>
            <w:bCs/>
          </w:rPr>
          <w:t>http://ctpp.cz/priorita-c-potravi</w:t>
        </w:r>
        <w:r w:rsidRPr="00F93CF2">
          <w:rPr>
            <w:bCs/>
          </w:rPr>
          <w:t>n</w:t>
        </w:r>
        <w:r w:rsidRPr="00F93CF2">
          <w:rPr>
            <w:bCs/>
          </w:rPr>
          <w:t>y-a-spotrebitel</w:t>
        </w:r>
      </w:hyperlink>
      <w:r w:rsidR="008B00D0">
        <w:rPr>
          <w:bCs/>
        </w:rPr>
        <w:t xml:space="preserve"> </w:t>
      </w:r>
    </w:p>
    <w:p w14:paraId="63F1D72C" w14:textId="77777777" w:rsidR="00941EDE" w:rsidRDefault="00941EDE" w:rsidP="004E6B68">
      <w:pPr>
        <w:autoSpaceDE w:val="0"/>
        <w:autoSpaceDN w:val="0"/>
        <w:adjustRightInd w:val="0"/>
        <w:spacing w:after="120"/>
        <w:rPr>
          <w:sz w:val="18"/>
          <w:szCs w:val="18"/>
        </w:rPr>
      </w:pPr>
      <w:r>
        <w:rPr>
          <w:b/>
          <w:sz w:val="18"/>
          <w:szCs w:val="18"/>
        </w:rPr>
        <w:t>Sdružení českých spotřebitelů, z. </w:t>
      </w:r>
      <w:proofErr w:type="spellStart"/>
      <w:r>
        <w:rPr>
          <w:b/>
          <w:sz w:val="18"/>
          <w:szCs w:val="18"/>
        </w:rPr>
        <w:t>ú.</w:t>
      </w:r>
      <w:proofErr w:type="spellEnd"/>
      <w:r>
        <w:rPr>
          <w:b/>
          <w:sz w:val="18"/>
          <w:szCs w:val="18"/>
        </w:rPr>
        <w:t xml:space="preserve">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14:paraId="4FD89F08" w14:textId="77777777" w:rsidR="00941EDE" w:rsidRDefault="00941EDE" w:rsidP="004E6B68">
      <w:pPr>
        <w:spacing w:after="120"/>
        <w:rPr>
          <w:sz w:val="18"/>
          <w:szCs w:val="18"/>
        </w:rPr>
      </w:pPr>
      <w:r w:rsidRPr="00742D9A">
        <w:rPr>
          <w:sz w:val="18"/>
          <w:szCs w:val="18"/>
        </w:rPr>
        <w:t>IČO 00409871, DIČ CZ00409871</w:t>
      </w:r>
      <w:r>
        <w:rPr>
          <w:sz w:val="18"/>
          <w:szCs w:val="18"/>
        </w:rPr>
        <w:t xml:space="preserve">; sídlo </w:t>
      </w:r>
      <w:r w:rsidRPr="008516C6">
        <w:rPr>
          <w:sz w:val="18"/>
          <w:szCs w:val="18"/>
        </w:rPr>
        <w:t>Pod Altánem 99/103</w:t>
      </w:r>
      <w:r>
        <w:rPr>
          <w:sz w:val="18"/>
          <w:szCs w:val="18"/>
        </w:rPr>
        <w:t>,</w:t>
      </w:r>
      <w:r w:rsidRPr="008516C6">
        <w:rPr>
          <w:sz w:val="18"/>
          <w:szCs w:val="18"/>
        </w:rPr>
        <w:t xml:space="preserve"> 100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Praha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 xml:space="preserve">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kontakty: +420 261263574, </w:t>
      </w:r>
      <w:hyperlink r:id="rId15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6" w:history="1">
        <w:r w:rsidRPr="00A67115">
          <w:rPr>
            <w:sz w:val="18"/>
            <w:szCs w:val="18"/>
          </w:rPr>
          <w:t>www.konzument.cz</w:t>
        </w:r>
      </w:hyperlink>
    </w:p>
    <w:p w14:paraId="469F10E4" w14:textId="77777777" w:rsidR="00941EDE" w:rsidRPr="002B634D" w:rsidRDefault="00941EDE" w:rsidP="004E6B68">
      <w:pPr>
        <w:autoSpaceDE w:val="0"/>
        <w:autoSpaceDN w:val="0"/>
        <w:adjustRightInd w:val="0"/>
        <w:spacing w:after="120"/>
        <w:rPr>
          <w:sz w:val="18"/>
          <w:szCs w:val="18"/>
        </w:rPr>
      </w:pPr>
      <w:r w:rsidRPr="002B634D">
        <w:rPr>
          <w:b/>
          <w:sz w:val="18"/>
          <w:szCs w:val="18"/>
        </w:rPr>
        <w:t>Kabinet pro standardizaci, o. p. s. (</w:t>
      </w:r>
      <w:proofErr w:type="spellStart"/>
      <w:r w:rsidRPr="002B634D">
        <w:rPr>
          <w:b/>
          <w:sz w:val="18"/>
          <w:szCs w:val="18"/>
        </w:rPr>
        <w:t>KaStan</w:t>
      </w:r>
      <w:proofErr w:type="spellEnd"/>
      <w:r w:rsidRPr="002B634D">
        <w:rPr>
          <w:b/>
          <w:sz w:val="18"/>
          <w:szCs w:val="18"/>
        </w:rPr>
        <w:t xml:space="preserve">) </w:t>
      </w:r>
      <w:r w:rsidRPr="002B634D">
        <w:rPr>
          <w:sz w:val="18"/>
          <w:szCs w:val="18"/>
        </w:rPr>
        <w:t xml:space="preserve">je nezávislou obecně prospěšnou společností založenou Sdružením českých spotřebitelů. Cílem je zvyšování bezpečnosti a kvality výrobků a služeb vytvářením a podporou funkce nástrojů zajišťujících účinné zapojení spotřebitelů do standardizačních procesů (technická normalizace, certifikace a posuzování shody, akreditace, dozor nad trhem), včetně uplatňování technických předpisů a norem ve prospěch spotřebitelů a korektního trhu. </w:t>
      </w:r>
    </w:p>
    <w:p w14:paraId="5F57DAA9" w14:textId="77777777" w:rsidR="00941EDE" w:rsidRPr="002B634D" w:rsidRDefault="00941EDE" w:rsidP="004E6B68">
      <w:pPr>
        <w:autoSpaceDE w:val="0"/>
        <w:autoSpaceDN w:val="0"/>
        <w:adjustRightInd w:val="0"/>
        <w:spacing w:after="120"/>
        <w:rPr>
          <w:sz w:val="18"/>
          <w:szCs w:val="18"/>
        </w:rPr>
      </w:pPr>
      <w:r w:rsidRPr="002B634D">
        <w:rPr>
          <w:sz w:val="18"/>
          <w:szCs w:val="18"/>
        </w:rPr>
        <w:t xml:space="preserve">IČO 28984072, DIČ CZ28984072; sídlo Pod Altánem 99/103; 100 00 Praha 10 – Strašnice; +420 261263574, normy@regio.cz; </w:t>
      </w:r>
      <w:proofErr w:type="gramStart"/>
      <w:r w:rsidRPr="002B634D">
        <w:rPr>
          <w:sz w:val="18"/>
          <w:szCs w:val="18"/>
        </w:rPr>
        <w:t>www.top-normy</w:t>
      </w:r>
      <w:proofErr w:type="gramEnd"/>
      <w:r w:rsidRPr="002B634D">
        <w:rPr>
          <w:sz w:val="18"/>
          <w:szCs w:val="18"/>
        </w:rPr>
        <w:t xml:space="preserve">.cz </w:t>
      </w:r>
    </w:p>
    <w:p w14:paraId="486C6B72" w14:textId="77777777" w:rsidR="00941EDE" w:rsidRPr="00675BEA" w:rsidRDefault="00941EDE" w:rsidP="004E6B68">
      <w:pPr>
        <w:spacing w:after="120"/>
        <w:jc w:val="both"/>
        <w:rPr>
          <w:sz w:val="10"/>
        </w:rPr>
      </w:pPr>
    </w:p>
    <w:p w14:paraId="02391BF2" w14:textId="77777777" w:rsidR="00941EDE" w:rsidRDefault="00941EDE" w:rsidP="004E6B68">
      <w:pPr>
        <w:spacing w:after="120"/>
        <w:rPr>
          <w:b/>
          <w:bCs/>
        </w:rPr>
      </w:pPr>
    </w:p>
    <w:sectPr w:rsidR="00941EDE" w:rsidSect="00CA4A78">
      <w:headerReference w:type="default" r:id="rId17"/>
      <w:footerReference w:type="even" r:id="rId18"/>
      <w:footerReference w:type="default" r:id="rId1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CF396" w14:textId="77777777" w:rsidR="002301F5" w:rsidRDefault="002301F5">
      <w:r>
        <w:separator/>
      </w:r>
    </w:p>
  </w:endnote>
  <w:endnote w:type="continuationSeparator" w:id="0">
    <w:p w14:paraId="4E811597" w14:textId="77777777" w:rsidR="002301F5" w:rsidRDefault="0023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F9841" w14:textId="77777777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50E508" w14:textId="77777777" w:rsidR="00C23D51" w:rsidRDefault="00C23D5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61356" w14:textId="77777777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41AB">
      <w:rPr>
        <w:rStyle w:val="slostrnky"/>
        <w:noProof/>
      </w:rPr>
      <w:t>2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C23D51" w14:paraId="2E62AC4B" w14:textId="77777777" w:rsidTr="004C7619">
      <w:trPr>
        <w:trHeight w:val="416"/>
      </w:trPr>
      <w:tc>
        <w:tcPr>
          <w:tcW w:w="2050" w:type="dxa"/>
        </w:tcPr>
        <w:p w14:paraId="0D908D28" w14:textId="77777777" w:rsidR="00C23D51" w:rsidRDefault="00C23D51" w:rsidP="004C7619">
          <w:pPr>
            <w:spacing w:line="276" w:lineRule="auto"/>
            <w:rPr>
              <w:sz w:val="6"/>
            </w:rPr>
          </w:pPr>
        </w:p>
        <w:p w14:paraId="7D83F2DF" w14:textId="77777777" w:rsidR="00C23D51" w:rsidRDefault="00C23D51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14:paraId="4A094FD2" w14:textId="77777777" w:rsidR="00C23D51" w:rsidRDefault="00C23D51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14:paraId="6247FA09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14:paraId="7E5027CC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14:paraId="6413B8F7" w14:textId="77777777" w:rsidR="00C23D51" w:rsidRPr="00BB07A6" w:rsidRDefault="002301F5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C23D51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proofErr w:type="gramStart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</w:t>
          </w:r>
          <w:proofErr w:type="gramEnd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</w:t>
          </w:r>
          <w:proofErr w:type="gramStart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konzument</w:t>
          </w:r>
          <w:proofErr w:type="gramEnd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.cz</w:t>
          </w:r>
        </w:p>
      </w:tc>
      <w:tc>
        <w:tcPr>
          <w:tcW w:w="1116" w:type="dxa"/>
          <w:vAlign w:val="center"/>
        </w:tcPr>
        <w:p w14:paraId="63ABBF4F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14:paraId="4ED722E6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14:paraId="1A7891D0" w14:textId="77777777" w:rsidR="00C23D51" w:rsidRDefault="00C23D51">
    <w:pPr>
      <w:pStyle w:val="Zpa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ADF01" w14:textId="77777777" w:rsidR="002301F5" w:rsidRDefault="002301F5">
      <w:r>
        <w:separator/>
      </w:r>
    </w:p>
  </w:footnote>
  <w:footnote w:type="continuationSeparator" w:id="0">
    <w:p w14:paraId="7B19CA90" w14:textId="77777777" w:rsidR="002301F5" w:rsidRDefault="00230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C23D51" w14:paraId="50815570" w14:textId="77777777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14:paraId="519290A8" w14:textId="2CB0ECD6" w:rsidR="00C23D51" w:rsidRDefault="00941EDE" w:rsidP="00E6069E">
          <w:r w:rsidRPr="001C2245">
            <w:rPr>
              <w:noProof/>
              <w:color w:val="17365D" w:themeColor="text2" w:themeShade="BF"/>
              <w:sz w:val="18"/>
            </w:rPr>
            <w:drawing>
              <wp:inline distT="0" distB="0" distL="0" distR="0" wp14:anchorId="1A7AA124" wp14:editId="5693A79C">
                <wp:extent cx="2326551" cy="701749"/>
                <wp:effectExtent l="0" t="0" r="0" b="3175"/>
                <wp:docPr id="5" name="Obrázek 5" descr="F:\_archive_ag_du_new_recon\_SCS_Realizace\_Formul_Loga_etc\LogaVizit_Kabinet\Logotyp KaStan 2017\Office &amp; web\Kabinet &amp; top normy\Kabinet_top_norm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:\_archive_ag_du_new_recon\_SCS_Realizace\_Formul_Loga_etc\LogaVizit_Kabinet\Logotyp KaStan 2017\Office &amp; web\Kabinet &amp; top normy\Kabinet_top_norm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004" cy="70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14:paraId="7EC46C72" w14:textId="77777777" w:rsidR="00C23D51" w:rsidRPr="00E6069E" w:rsidRDefault="00C23D51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2192E53F" wp14:editId="1B7157EA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3D51" w14:paraId="227211D0" w14:textId="77777777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14:paraId="0CB785A1" w14:textId="77777777" w:rsidR="00C23D51" w:rsidRDefault="00C23D51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14:paraId="778E2017" w14:textId="77777777" w:rsidR="00C23D51" w:rsidRDefault="00C23D51" w:rsidP="00CE30FE">
          <w:pPr>
            <w:ind w:right="-70"/>
            <w:jc w:val="right"/>
            <w:rPr>
              <w:sz w:val="8"/>
            </w:rPr>
          </w:pPr>
        </w:p>
      </w:tc>
    </w:tr>
  </w:tbl>
  <w:p w14:paraId="0D220AFE" w14:textId="77777777" w:rsidR="00C23D51" w:rsidRPr="00D211DE" w:rsidRDefault="00C23D51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F7A83"/>
    <w:multiLevelType w:val="hybridMultilevel"/>
    <w:tmpl w:val="9BB028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03FAF"/>
    <w:multiLevelType w:val="hybridMultilevel"/>
    <w:tmpl w:val="BFA0F9C8"/>
    <w:lvl w:ilvl="0" w:tplc="21A6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A2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E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8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2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C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C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8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0A7"/>
    <w:multiLevelType w:val="hybridMultilevel"/>
    <w:tmpl w:val="45CC1AB8"/>
    <w:lvl w:ilvl="0" w:tplc="772AE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E6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0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C0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4A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2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0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2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F22345"/>
    <w:multiLevelType w:val="hybridMultilevel"/>
    <w:tmpl w:val="AD4A5BA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EB361D"/>
    <w:multiLevelType w:val="hybridMultilevel"/>
    <w:tmpl w:val="5C5CC1C6"/>
    <w:lvl w:ilvl="0" w:tplc="5FD6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23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6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0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A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C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6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0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71AA9"/>
    <w:multiLevelType w:val="hybridMultilevel"/>
    <w:tmpl w:val="8AA44C2A"/>
    <w:lvl w:ilvl="0" w:tplc="8310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2A7F51"/>
    <w:multiLevelType w:val="hybridMultilevel"/>
    <w:tmpl w:val="81FC3E52"/>
    <w:lvl w:ilvl="0" w:tplc="412EE09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7ECB774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B14E6F0E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57422E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CAA452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B616E1B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84FAE53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8CF8A51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9462D6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9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C3659"/>
    <w:multiLevelType w:val="hybridMultilevel"/>
    <w:tmpl w:val="76006A16"/>
    <w:lvl w:ilvl="0" w:tplc="4E1C0C6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4E7AD8">
      <w:start w:val="195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CF8315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0A2BA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F8CD5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E1C137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1E260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36593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4F437D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AB76C06"/>
    <w:multiLevelType w:val="hybridMultilevel"/>
    <w:tmpl w:val="69345866"/>
    <w:lvl w:ilvl="0" w:tplc="52CE2E7A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110F7F"/>
    <w:multiLevelType w:val="hybridMultilevel"/>
    <w:tmpl w:val="2F622F38"/>
    <w:lvl w:ilvl="0" w:tplc="15ACBC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F6033E"/>
    <w:multiLevelType w:val="hybridMultilevel"/>
    <w:tmpl w:val="1996FC3E"/>
    <w:lvl w:ilvl="0" w:tplc="839A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A5CFE">
      <w:start w:val="4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6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E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60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8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2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E4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0"/>
  </w:num>
  <w:num w:numId="4">
    <w:abstractNumId w:val="5"/>
  </w:num>
  <w:num w:numId="5">
    <w:abstractNumId w:val="27"/>
  </w:num>
  <w:num w:numId="6">
    <w:abstractNumId w:val="22"/>
  </w:num>
  <w:num w:numId="7">
    <w:abstractNumId w:val="12"/>
  </w:num>
  <w:num w:numId="8">
    <w:abstractNumId w:val="38"/>
  </w:num>
  <w:num w:numId="9">
    <w:abstractNumId w:val="35"/>
  </w:num>
  <w:num w:numId="10">
    <w:abstractNumId w:val="6"/>
  </w:num>
  <w:num w:numId="11">
    <w:abstractNumId w:val="26"/>
  </w:num>
  <w:num w:numId="12">
    <w:abstractNumId w:val="21"/>
  </w:num>
  <w:num w:numId="13">
    <w:abstractNumId w:val="31"/>
  </w:num>
  <w:num w:numId="14">
    <w:abstractNumId w:val="7"/>
  </w:num>
  <w:num w:numId="15">
    <w:abstractNumId w:val="19"/>
  </w:num>
  <w:num w:numId="16">
    <w:abstractNumId w:val="15"/>
  </w:num>
  <w:num w:numId="17">
    <w:abstractNumId w:val="2"/>
  </w:num>
  <w:num w:numId="18">
    <w:abstractNumId w:val="34"/>
  </w:num>
  <w:num w:numId="19">
    <w:abstractNumId w:val="28"/>
  </w:num>
  <w:num w:numId="20">
    <w:abstractNumId w:val="13"/>
  </w:num>
  <w:num w:numId="21">
    <w:abstractNumId w:val="16"/>
  </w:num>
  <w:num w:numId="22">
    <w:abstractNumId w:val="30"/>
  </w:num>
  <w:num w:numId="23">
    <w:abstractNumId w:val="24"/>
  </w:num>
  <w:num w:numId="24">
    <w:abstractNumId w:val="37"/>
  </w:num>
  <w:num w:numId="25">
    <w:abstractNumId w:val="4"/>
  </w:num>
  <w:num w:numId="26">
    <w:abstractNumId w:val="10"/>
  </w:num>
  <w:num w:numId="27">
    <w:abstractNumId w:val="33"/>
  </w:num>
  <w:num w:numId="28">
    <w:abstractNumId w:val="20"/>
  </w:num>
  <w:num w:numId="29">
    <w:abstractNumId w:val="29"/>
  </w:num>
  <w:num w:numId="30">
    <w:abstractNumId w:val="8"/>
  </w:num>
  <w:num w:numId="31">
    <w:abstractNumId w:val="11"/>
  </w:num>
  <w:num w:numId="32">
    <w:abstractNumId w:val="18"/>
  </w:num>
  <w:num w:numId="33">
    <w:abstractNumId w:val="36"/>
  </w:num>
  <w:num w:numId="34">
    <w:abstractNumId w:val="3"/>
  </w:num>
  <w:num w:numId="35">
    <w:abstractNumId w:val="32"/>
  </w:num>
  <w:num w:numId="36">
    <w:abstractNumId w:val="9"/>
  </w:num>
  <w:num w:numId="37">
    <w:abstractNumId w:val="1"/>
  </w:num>
  <w:num w:numId="38">
    <w:abstractNumId w:val="2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20557"/>
    <w:rsid w:val="000212DE"/>
    <w:rsid w:val="000264CA"/>
    <w:rsid w:val="00085C24"/>
    <w:rsid w:val="000A1CBC"/>
    <w:rsid w:val="000B2F9A"/>
    <w:rsid w:val="000D4226"/>
    <w:rsid w:val="000E330A"/>
    <w:rsid w:val="000F02F4"/>
    <w:rsid w:val="000F201F"/>
    <w:rsid w:val="001140F9"/>
    <w:rsid w:val="00116459"/>
    <w:rsid w:val="001166A4"/>
    <w:rsid w:val="0012375B"/>
    <w:rsid w:val="00134D8F"/>
    <w:rsid w:val="001372C0"/>
    <w:rsid w:val="00141082"/>
    <w:rsid w:val="00147BEC"/>
    <w:rsid w:val="00181A8F"/>
    <w:rsid w:val="00187D08"/>
    <w:rsid w:val="001B0E0F"/>
    <w:rsid w:val="001D1BC9"/>
    <w:rsid w:val="001E384B"/>
    <w:rsid w:val="001E3C15"/>
    <w:rsid w:val="001E6F1C"/>
    <w:rsid w:val="0020165D"/>
    <w:rsid w:val="002301F5"/>
    <w:rsid w:val="002332FB"/>
    <w:rsid w:val="00234939"/>
    <w:rsid w:val="002349B2"/>
    <w:rsid w:val="00250C93"/>
    <w:rsid w:val="00277C59"/>
    <w:rsid w:val="00280435"/>
    <w:rsid w:val="00287D02"/>
    <w:rsid w:val="00292967"/>
    <w:rsid w:val="00296C9E"/>
    <w:rsid w:val="002B41AB"/>
    <w:rsid w:val="002B4721"/>
    <w:rsid w:val="002C0C93"/>
    <w:rsid w:val="002C3C7F"/>
    <w:rsid w:val="002C6C91"/>
    <w:rsid w:val="002D094E"/>
    <w:rsid w:val="002F21AB"/>
    <w:rsid w:val="0030578F"/>
    <w:rsid w:val="00326DCA"/>
    <w:rsid w:val="0033327E"/>
    <w:rsid w:val="00333B8E"/>
    <w:rsid w:val="00334EF5"/>
    <w:rsid w:val="00343356"/>
    <w:rsid w:val="00363535"/>
    <w:rsid w:val="003A20B0"/>
    <w:rsid w:val="003A7D01"/>
    <w:rsid w:val="003F1CF3"/>
    <w:rsid w:val="004121F3"/>
    <w:rsid w:val="00415100"/>
    <w:rsid w:val="004179B6"/>
    <w:rsid w:val="0042112F"/>
    <w:rsid w:val="004311AA"/>
    <w:rsid w:val="004313A7"/>
    <w:rsid w:val="0043285B"/>
    <w:rsid w:val="00442930"/>
    <w:rsid w:val="00491026"/>
    <w:rsid w:val="00491EFD"/>
    <w:rsid w:val="004C7619"/>
    <w:rsid w:val="004E2E56"/>
    <w:rsid w:val="004E6B68"/>
    <w:rsid w:val="00503D33"/>
    <w:rsid w:val="00505FB1"/>
    <w:rsid w:val="005332C0"/>
    <w:rsid w:val="00544A87"/>
    <w:rsid w:val="005530A3"/>
    <w:rsid w:val="00563EA7"/>
    <w:rsid w:val="00596128"/>
    <w:rsid w:val="005979AF"/>
    <w:rsid w:val="005B2F69"/>
    <w:rsid w:val="005B4DAA"/>
    <w:rsid w:val="005B74AD"/>
    <w:rsid w:val="005D07B0"/>
    <w:rsid w:val="005D7B09"/>
    <w:rsid w:val="005F40F3"/>
    <w:rsid w:val="0060473E"/>
    <w:rsid w:val="006258CA"/>
    <w:rsid w:val="00625E9C"/>
    <w:rsid w:val="0065260A"/>
    <w:rsid w:val="00653FB7"/>
    <w:rsid w:val="00662932"/>
    <w:rsid w:val="00664BF3"/>
    <w:rsid w:val="00687028"/>
    <w:rsid w:val="00687148"/>
    <w:rsid w:val="006A4071"/>
    <w:rsid w:val="006A5F9D"/>
    <w:rsid w:val="006B47DD"/>
    <w:rsid w:val="006C2D19"/>
    <w:rsid w:val="006D37F9"/>
    <w:rsid w:val="00703ABE"/>
    <w:rsid w:val="00703B45"/>
    <w:rsid w:val="00724AFF"/>
    <w:rsid w:val="00744B74"/>
    <w:rsid w:val="00755126"/>
    <w:rsid w:val="007576B5"/>
    <w:rsid w:val="007730C4"/>
    <w:rsid w:val="007E29FE"/>
    <w:rsid w:val="007E2FA4"/>
    <w:rsid w:val="007E3171"/>
    <w:rsid w:val="008009F0"/>
    <w:rsid w:val="00815610"/>
    <w:rsid w:val="00815C5C"/>
    <w:rsid w:val="00826AEF"/>
    <w:rsid w:val="00876265"/>
    <w:rsid w:val="0089064E"/>
    <w:rsid w:val="008A3042"/>
    <w:rsid w:val="008B00D0"/>
    <w:rsid w:val="008B1708"/>
    <w:rsid w:val="008D3710"/>
    <w:rsid w:val="008E5EE5"/>
    <w:rsid w:val="00923607"/>
    <w:rsid w:val="009360CB"/>
    <w:rsid w:val="00941EDE"/>
    <w:rsid w:val="00957594"/>
    <w:rsid w:val="00970401"/>
    <w:rsid w:val="00975348"/>
    <w:rsid w:val="009875BC"/>
    <w:rsid w:val="00997132"/>
    <w:rsid w:val="009C2F19"/>
    <w:rsid w:val="009C35B6"/>
    <w:rsid w:val="009D73EA"/>
    <w:rsid w:val="009F23FB"/>
    <w:rsid w:val="00A102A2"/>
    <w:rsid w:val="00A124AC"/>
    <w:rsid w:val="00A23FE7"/>
    <w:rsid w:val="00A41A1C"/>
    <w:rsid w:val="00A4423A"/>
    <w:rsid w:val="00A50D21"/>
    <w:rsid w:val="00A56614"/>
    <w:rsid w:val="00AC3BB2"/>
    <w:rsid w:val="00AD5B1E"/>
    <w:rsid w:val="00AE6C43"/>
    <w:rsid w:val="00AF2662"/>
    <w:rsid w:val="00AF6E7B"/>
    <w:rsid w:val="00B2184E"/>
    <w:rsid w:val="00B224FC"/>
    <w:rsid w:val="00B311CE"/>
    <w:rsid w:val="00B92C8D"/>
    <w:rsid w:val="00B93D9A"/>
    <w:rsid w:val="00BB07A6"/>
    <w:rsid w:val="00BB632D"/>
    <w:rsid w:val="00BE37D7"/>
    <w:rsid w:val="00BE61FF"/>
    <w:rsid w:val="00C02D2C"/>
    <w:rsid w:val="00C1067B"/>
    <w:rsid w:val="00C15408"/>
    <w:rsid w:val="00C22D18"/>
    <w:rsid w:val="00C23D51"/>
    <w:rsid w:val="00C321D6"/>
    <w:rsid w:val="00C4068A"/>
    <w:rsid w:val="00C46D35"/>
    <w:rsid w:val="00C54F5E"/>
    <w:rsid w:val="00C62AAE"/>
    <w:rsid w:val="00C70EC4"/>
    <w:rsid w:val="00C74594"/>
    <w:rsid w:val="00C779CB"/>
    <w:rsid w:val="00C94352"/>
    <w:rsid w:val="00CA2919"/>
    <w:rsid w:val="00CA4A78"/>
    <w:rsid w:val="00CE30FE"/>
    <w:rsid w:val="00CF463C"/>
    <w:rsid w:val="00CF72EC"/>
    <w:rsid w:val="00D00FB3"/>
    <w:rsid w:val="00D14EBD"/>
    <w:rsid w:val="00D2042B"/>
    <w:rsid w:val="00D211DE"/>
    <w:rsid w:val="00D2693B"/>
    <w:rsid w:val="00D26AF7"/>
    <w:rsid w:val="00D27474"/>
    <w:rsid w:val="00D4676E"/>
    <w:rsid w:val="00D53BD6"/>
    <w:rsid w:val="00D607A8"/>
    <w:rsid w:val="00D63963"/>
    <w:rsid w:val="00D828A0"/>
    <w:rsid w:val="00D963D1"/>
    <w:rsid w:val="00DA18BF"/>
    <w:rsid w:val="00DD7F8E"/>
    <w:rsid w:val="00DE34F8"/>
    <w:rsid w:val="00DE6FCC"/>
    <w:rsid w:val="00E05348"/>
    <w:rsid w:val="00E134E0"/>
    <w:rsid w:val="00E349F0"/>
    <w:rsid w:val="00E41C48"/>
    <w:rsid w:val="00E47C33"/>
    <w:rsid w:val="00E6069E"/>
    <w:rsid w:val="00E67395"/>
    <w:rsid w:val="00E7752F"/>
    <w:rsid w:val="00EA0EB5"/>
    <w:rsid w:val="00EA4ADD"/>
    <w:rsid w:val="00EB226D"/>
    <w:rsid w:val="00EE5D4A"/>
    <w:rsid w:val="00F060CE"/>
    <w:rsid w:val="00F20659"/>
    <w:rsid w:val="00F30DE3"/>
    <w:rsid w:val="00F4375C"/>
    <w:rsid w:val="00F5379B"/>
    <w:rsid w:val="00F61BFE"/>
    <w:rsid w:val="00F626EA"/>
    <w:rsid w:val="00F70292"/>
    <w:rsid w:val="00F85065"/>
    <w:rsid w:val="00F86228"/>
    <w:rsid w:val="00F9425A"/>
    <w:rsid w:val="00FA7CBF"/>
    <w:rsid w:val="00FB429E"/>
    <w:rsid w:val="00FB58D2"/>
    <w:rsid w:val="00FC0FBE"/>
    <w:rsid w:val="00FD3260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934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99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nhideWhenUsed/>
    <w:rsid w:val="001E384B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F30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99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nhideWhenUsed/>
    <w:rsid w:val="001E384B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F3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8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07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6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31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1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90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1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7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4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95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0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33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1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2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2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9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91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67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41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7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79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7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5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2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89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9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81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trebitelzakvalitou.cz/o-nas/o-pracovni-skupine-ctpp.php" TargetMode="External"/><Relationship Id="rId13" Type="http://schemas.openxmlformats.org/officeDocument/2006/relationships/hyperlink" Target="http://spotrebitelzakvalitou.cz/index.php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onzument.cz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onzument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upal@regi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upal@regio.cz" TargetMode="External"/><Relationship Id="rId10" Type="http://schemas.openxmlformats.org/officeDocument/2006/relationships/hyperlink" Target="http://www.konzument.cz/publikace/jak-pozname-kvalitu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ctpp.cz/priorita-c-potraviny-a-spotrebite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2</Pages>
  <Words>1063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7324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LiborDupal</cp:lastModifiedBy>
  <cp:revision>8</cp:revision>
  <cp:lastPrinted>2017-07-11T09:15:00Z</cp:lastPrinted>
  <dcterms:created xsi:type="dcterms:W3CDTF">2017-05-07T04:40:00Z</dcterms:created>
  <dcterms:modified xsi:type="dcterms:W3CDTF">2017-07-11T09:37:00Z</dcterms:modified>
</cp:coreProperties>
</file>