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0B" w:rsidRDefault="00663F0B" w:rsidP="00663F0B">
      <w:pPr>
        <w:spacing w:after="120"/>
        <w:ind w:right="-426"/>
        <w:jc w:val="center"/>
        <w:rPr>
          <w:rFonts w:ascii="Verdana" w:hAnsi="Verdana"/>
        </w:rPr>
      </w:pPr>
      <w:r>
        <w:rPr>
          <w:rFonts w:ascii="Verdana" w:hAnsi="Verdana"/>
        </w:rPr>
        <w:t>TISKOVÁ ZPRÁVA</w:t>
      </w:r>
    </w:p>
    <w:p w:rsidR="00663F0B" w:rsidRDefault="00663F0B" w:rsidP="00663F0B">
      <w:pPr>
        <w:spacing w:after="120"/>
        <w:ind w:right="-426"/>
        <w:jc w:val="center"/>
        <w:rPr>
          <w:rFonts w:ascii="Verdana" w:hAnsi="Verdana"/>
        </w:rPr>
      </w:pPr>
      <w:r>
        <w:rPr>
          <w:rFonts w:ascii="Verdana" w:hAnsi="Verdana"/>
        </w:rPr>
        <w:t xml:space="preserve">Sdružení českých spotřebitelů </w:t>
      </w:r>
    </w:p>
    <w:p w:rsidR="00663F0B" w:rsidRPr="005A4F72" w:rsidRDefault="00663F0B" w:rsidP="00663F0B">
      <w:pPr>
        <w:spacing w:after="120"/>
        <w:ind w:right="1"/>
        <w:jc w:val="center"/>
        <w:rPr>
          <w:b/>
        </w:rPr>
      </w:pPr>
      <w:r>
        <w:rPr>
          <w:b/>
        </w:rPr>
        <w:t>Přístupnost webových stránek pro zvlášť zranitelné spotřebitele bude posílena</w:t>
      </w:r>
    </w:p>
    <w:p w:rsidR="00C94C38" w:rsidRPr="00F202B2" w:rsidRDefault="00663F0B" w:rsidP="00F202B2">
      <w:pPr>
        <w:spacing w:after="120"/>
        <w:jc w:val="both"/>
        <w:rPr>
          <w:sz w:val="22"/>
          <w:szCs w:val="22"/>
        </w:rPr>
      </w:pPr>
      <w:r w:rsidRPr="00F202B2">
        <w:rPr>
          <w:rFonts w:ascii="Verdana" w:hAnsi="Verdana" w:cs="Tahoma"/>
          <w:i/>
          <w:sz w:val="22"/>
          <w:szCs w:val="22"/>
        </w:rPr>
        <w:t xml:space="preserve">V Praze dne </w:t>
      </w:r>
      <w:r w:rsidR="00C94C38" w:rsidRPr="00F202B2">
        <w:rPr>
          <w:rFonts w:ascii="Verdana" w:hAnsi="Verdana" w:cs="Tahoma"/>
          <w:i/>
          <w:sz w:val="22"/>
          <w:szCs w:val="22"/>
        </w:rPr>
        <w:t>5</w:t>
      </w:r>
      <w:r w:rsidRPr="00F202B2">
        <w:rPr>
          <w:rFonts w:ascii="Verdana" w:hAnsi="Verdana" w:cs="Tahoma"/>
          <w:i/>
          <w:sz w:val="22"/>
          <w:szCs w:val="22"/>
        </w:rPr>
        <w:t>. 1</w:t>
      </w:r>
      <w:r w:rsidR="00C94C38" w:rsidRPr="00F202B2">
        <w:rPr>
          <w:rFonts w:ascii="Verdana" w:hAnsi="Verdana" w:cs="Tahoma"/>
          <w:i/>
          <w:sz w:val="22"/>
          <w:szCs w:val="22"/>
        </w:rPr>
        <w:t>2</w:t>
      </w:r>
      <w:r w:rsidRPr="00F202B2">
        <w:rPr>
          <w:rFonts w:ascii="Verdana" w:hAnsi="Verdana" w:cs="Tahoma"/>
          <w:i/>
          <w:sz w:val="22"/>
          <w:szCs w:val="22"/>
        </w:rPr>
        <w:t>. 2016</w:t>
      </w:r>
      <w:r w:rsidR="00F202B2" w:rsidRPr="00F202B2">
        <w:rPr>
          <w:rFonts w:ascii="Verdana" w:hAnsi="Verdana" w:cs="Tahoma"/>
          <w:i/>
          <w:sz w:val="22"/>
          <w:szCs w:val="22"/>
        </w:rPr>
        <w:t xml:space="preserve">; </w:t>
      </w:r>
      <w:r w:rsidRPr="00F202B2">
        <w:rPr>
          <w:sz w:val="22"/>
          <w:szCs w:val="22"/>
        </w:rPr>
        <w:t>Sdružení českých spotřebit</w:t>
      </w:r>
      <w:r w:rsidR="004C0C0E" w:rsidRPr="00F202B2">
        <w:rPr>
          <w:sz w:val="22"/>
          <w:szCs w:val="22"/>
        </w:rPr>
        <w:t xml:space="preserve">elů </w:t>
      </w:r>
      <w:r w:rsidR="00C94C38" w:rsidRPr="00F202B2">
        <w:rPr>
          <w:sz w:val="22"/>
          <w:szCs w:val="22"/>
        </w:rPr>
        <w:t xml:space="preserve">(SČS) se dlouhodobě věnuje tématům spojených s ochranou zájmů zranitelných spotřebitelů, kterými jsou na jedné straně děti, na </w:t>
      </w:r>
      <w:proofErr w:type="gramStart"/>
      <w:r w:rsidR="00C94C38" w:rsidRPr="00F202B2">
        <w:rPr>
          <w:sz w:val="22"/>
          <w:szCs w:val="22"/>
        </w:rPr>
        <w:t>druhé</w:t>
      </w:r>
      <w:proofErr w:type="gramEnd"/>
      <w:r w:rsidR="00C94C38" w:rsidRPr="00F202B2">
        <w:rPr>
          <w:sz w:val="22"/>
          <w:szCs w:val="22"/>
        </w:rPr>
        <w:t xml:space="preserve"> senioři a osoby se zdravotně postižení</w:t>
      </w:r>
      <w:r w:rsidR="005A6319">
        <w:rPr>
          <w:sz w:val="22"/>
          <w:szCs w:val="22"/>
        </w:rPr>
        <w:t>m</w:t>
      </w:r>
      <w:bookmarkStart w:id="0" w:name="_GoBack"/>
      <w:bookmarkEnd w:id="0"/>
      <w:r w:rsidR="00E25CCC" w:rsidRPr="00F202B2">
        <w:rPr>
          <w:sz w:val="22"/>
          <w:szCs w:val="22"/>
        </w:rPr>
        <w:t xml:space="preserve">. </w:t>
      </w:r>
    </w:p>
    <w:p w:rsidR="008F4E2A" w:rsidRPr="00F202B2" w:rsidRDefault="00E25CCC" w:rsidP="008F4E2A">
      <w:pPr>
        <w:spacing w:after="120"/>
        <w:jc w:val="both"/>
        <w:rPr>
          <w:sz w:val="22"/>
          <w:szCs w:val="22"/>
        </w:rPr>
      </w:pPr>
      <w:r w:rsidRPr="00F202B2">
        <w:rPr>
          <w:sz w:val="22"/>
          <w:szCs w:val="22"/>
        </w:rPr>
        <w:t xml:space="preserve">V této souvislosti se </w:t>
      </w:r>
      <w:r w:rsidR="00C94C38" w:rsidRPr="00F202B2">
        <w:rPr>
          <w:sz w:val="22"/>
          <w:szCs w:val="22"/>
        </w:rPr>
        <w:t xml:space="preserve">pod organizací SČS letos v květnu </w:t>
      </w:r>
      <w:r w:rsidRPr="00F202B2">
        <w:rPr>
          <w:sz w:val="22"/>
          <w:szCs w:val="22"/>
        </w:rPr>
        <w:t>konala národní konference</w:t>
      </w:r>
      <w:r w:rsidR="00C94C38" w:rsidRPr="00F202B2">
        <w:rPr>
          <w:sz w:val="22"/>
          <w:szCs w:val="22"/>
        </w:rPr>
        <w:t xml:space="preserve">, zaměřená na </w:t>
      </w:r>
      <w:r w:rsidR="00663F0B" w:rsidRPr="00F202B2">
        <w:rPr>
          <w:sz w:val="22"/>
          <w:szCs w:val="22"/>
        </w:rPr>
        <w:t xml:space="preserve">zviditelnění technické normalizace a její úlohy pro </w:t>
      </w:r>
      <w:r w:rsidR="00C94C38" w:rsidRPr="00F202B2">
        <w:rPr>
          <w:sz w:val="22"/>
          <w:szCs w:val="22"/>
        </w:rPr>
        <w:t xml:space="preserve">tuto </w:t>
      </w:r>
      <w:r w:rsidR="00663F0B" w:rsidRPr="00F202B2">
        <w:rPr>
          <w:sz w:val="22"/>
          <w:szCs w:val="22"/>
        </w:rPr>
        <w:t>specifickou skupinu spotřebitelů a uživatelů výrobků a služeb</w:t>
      </w:r>
      <w:r w:rsidR="00AC2B76" w:rsidRPr="00F202B2">
        <w:rPr>
          <w:sz w:val="22"/>
          <w:szCs w:val="22"/>
        </w:rPr>
        <w:t xml:space="preserve"> – více </w:t>
      </w:r>
      <w:hyperlink r:id="rId7" w:history="1">
        <w:r w:rsidR="00AC2B76" w:rsidRPr="00F202B2">
          <w:rPr>
            <w:rStyle w:val="Hypertextovodkaz"/>
            <w:sz w:val="22"/>
            <w:szCs w:val="22"/>
          </w:rPr>
          <w:t>Zde</w:t>
        </w:r>
      </w:hyperlink>
      <w:r w:rsidR="00AC2B76" w:rsidRPr="00F202B2">
        <w:rPr>
          <w:sz w:val="22"/>
          <w:szCs w:val="22"/>
        </w:rPr>
        <w:t>.</w:t>
      </w:r>
      <w:r w:rsidR="00663F0B" w:rsidRPr="00F202B2">
        <w:rPr>
          <w:sz w:val="22"/>
          <w:szCs w:val="22"/>
        </w:rPr>
        <w:t xml:space="preserve"> </w:t>
      </w:r>
      <w:r w:rsidR="00C94C38" w:rsidRPr="00F202B2">
        <w:rPr>
          <w:sz w:val="22"/>
          <w:szCs w:val="22"/>
        </w:rPr>
        <w:t>V</w:t>
      </w:r>
      <w:r w:rsidR="004C0C0E" w:rsidRPr="00F202B2">
        <w:rPr>
          <w:sz w:val="22"/>
          <w:szCs w:val="22"/>
        </w:rPr>
        <w:t xml:space="preserve"> této souvislosti SČS vydalo </w:t>
      </w:r>
      <w:r w:rsidR="008F4E2A" w:rsidRPr="00F202B2">
        <w:rPr>
          <w:sz w:val="22"/>
          <w:szCs w:val="22"/>
        </w:rPr>
        <w:t>vícero</w:t>
      </w:r>
      <w:r w:rsidR="004C0C0E" w:rsidRPr="00F202B2">
        <w:rPr>
          <w:sz w:val="22"/>
          <w:szCs w:val="22"/>
        </w:rPr>
        <w:t xml:space="preserve"> publikací, </w:t>
      </w:r>
      <w:r w:rsidR="008F4E2A" w:rsidRPr="00F202B2">
        <w:rPr>
          <w:sz w:val="22"/>
          <w:szCs w:val="22"/>
        </w:rPr>
        <w:t>např.</w:t>
      </w:r>
      <w:r w:rsidR="004C0C0E" w:rsidRPr="00F202B2">
        <w:rPr>
          <w:sz w:val="22"/>
          <w:szCs w:val="22"/>
        </w:rPr>
        <w:t xml:space="preserve"> Zranitelný spotřebitel – kdo to je, jak ho chránit? – </w:t>
      </w:r>
      <w:hyperlink r:id="rId8" w:history="1">
        <w:r w:rsidR="004C0C0E" w:rsidRPr="00F202B2">
          <w:rPr>
            <w:rStyle w:val="Hypertextovodkaz"/>
            <w:sz w:val="22"/>
            <w:szCs w:val="22"/>
          </w:rPr>
          <w:t>Zde</w:t>
        </w:r>
      </w:hyperlink>
      <w:r w:rsidR="004C0C0E" w:rsidRPr="00F202B2">
        <w:rPr>
          <w:sz w:val="22"/>
          <w:szCs w:val="22"/>
        </w:rPr>
        <w:t xml:space="preserve">, Přístupnost výrobků a služeb pro zvlášť zranitelné spotřebitele (obsah a funkce technických norem) – </w:t>
      </w:r>
      <w:hyperlink r:id="rId9" w:history="1">
        <w:r w:rsidR="004C0C0E" w:rsidRPr="00F202B2">
          <w:rPr>
            <w:rStyle w:val="Hypertextovodkaz"/>
            <w:sz w:val="22"/>
            <w:szCs w:val="22"/>
          </w:rPr>
          <w:t>Zde</w:t>
        </w:r>
      </w:hyperlink>
      <w:r w:rsidR="008F4E2A" w:rsidRPr="00F202B2">
        <w:rPr>
          <w:sz w:val="22"/>
          <w:szCs w:val="22"/>
        </w:rPr>
        <w:t xml:space="preserve">, anebo – ve vztahu k dětem - Pro bezpečnost dětí v automobilech: zádržné systémy – </w:t>
      </w:r>
      <w:hyperlink r:id="rId10" w:history="1">
        <w:r w:rsidR="008F4E2A" w:rsidRPr="00F202B2">
          <w:rPr>
            <w:rStyle w:val="Hypertextovodkaz"/>
            <w:sz w:val="22"/>
            <w:szCs w:val="22"/>
          </w:rPr>
          <w:t>Zde</w:t>
        </w:r>
      </w:hyperlink>
      <w:r w:rsidR="008F4E2A" w:rsidRPr="00F202B2">
        <w:rPr>
          <w:sz w:val="22"/>
          <w:szCs w:val="22"/>
        </w:rPr>
        <w:t xml:space="preserve"> a další.</w:t>
      </w:r>
    </w:p>
    <w:p w:rsidR="008F4E2A" w:rsidRPr="00F202B2" w:rsidRDefault="00773644" w:rsidP="00663F0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Jedním z témat</w:t>
      </w:r>
      <w:r w:rsidR="008F4E2A" w:rsidRPr="00F202B2">
        <w:rPr>
          <w:sz w:val="22"/>
          <w:szCs w:val="22"/>
        </w:rPr>
        <w:t xml:space="preserve">, které SČS </w:t>
      </w:r>
      <w:r w:rsidR="004C0C0E" w:rsidRPr="00F202B2">
        <w:rPr>
          <w:sz w:val="22"/>
          <w:szCs w:val="22"/>
        </w:rPr>
        <w:t>vnímá</w:t>
      </w:r>
      <w:r w:rsidR="008F4E2A" w:rsidRPr="00F202B2">
        <w:rPr>
          <w:sz w:val="22"/>
          <w:szCs w:val="22"/>
        </w:rPr>
        <w:t xml:space="preserve"> je</w:t>
      </w:r>
      <w:r w:rsidR="004C0C0E" w:rsidRPr="00F202B2">
        <w:rPr>
          <w:sz w:val="22"/>
          <w:szCs w:val="22"/>
        </w:rPr>
        <w:t xml:space="preserve">, </w:t>
      </w:r>
      <w:r w:rsidR="00CE4745" w:rsidRPr="00F202B2">
        <w:rPr>
          <w:sz w:val="22"/>
          <w:szCs w:val="22"/>
        </w:rPr>
        <w:t>že</w:t>
      </w:r>
      <w:r w:rsidR="004C0C0E" w:rsidRPr="00F202B2">
        <w:rPr>
          <w:sz w:val="22"/>
          <w:szCs w:val="22"/>
        </w:rPr>
        <w:t xml:space="preserve"> d</w:t>
      </w:r>
      <w:r w:rsidR="00E25CCC" w:rsidRPr="00F202B2">
        <w:rPr>
          <w:sz w:val="22"/>
          <w:szCs w:val="22"/>
        </w:rPr>
        <w:t>ostupnost webových stránek je pro znevýhodněné spotřebitele značně omezená</w:t>
      </w:r>
      <w:r w:rsidR="00CE4745" w:rsidRPr="00F202B2">
        <w:rPr>
          <w:sz w:val="22"/>
          <w:szCs w:val="22"/>
        </w:rPr>
        <w:t>, nicméně klíčová</w:t>
      </w:r>
      <w:r w:rsidR="00E25CCC" w:rsidRPr="00F202B2">
        <w:rPr>
          <w:sz w:val="22"/>
          <w:szCs w:val="22"/>
        </w:rPr>
        <w:t xml:space="preserve">. </w:t>
      </w:r>
      <w:r w:rsidR="008F4E2A" w:rsidRPr="00F202B2">
        <w:rPr>
          <w:sz w:val="22"/>
          <w:szCs w:val="22"/>
        </w:rPr>
        <w:t>Uvádí se, že dosud</w:t>
      </w:r>
      <w:r w:rsidR="004C0C0E" w:rsidRPr="00F202B2">
        <w:rPr>
          <w:sz w:val="22"/>
          <w:szCs w:val="22"/>
        </w:rPr>
        <w:t xml:space="preserve"> je </w:t>
      </w:r>
      <w:r w:rsidR="008F4E2A" w:rsidRPr="00F202B2">
        <w:rPr>
          <w:sz w:val="22"/>
          <w:szCs w:val="22"/>
        </w:rPr>
        <w:t xml:space="preserve">pro tuto skupinu dostupná </w:t>
      </w:r>
      <w:r w:rsidR="004C0C0E" w:rsidRPr="00F202B2">
        <w:rPr>
          <w:sz w:val="22"/>
          <w:szCs w:val="22"/>
        </w:rPr>
        <w:t>méně než jedna třetina veřejných stráne</w:t>
      </w:r>
      <w:r w:rsidR="00CE4745" w:rsidRPr="00F202B2">
        <w:rPr>
          <w:sz w:val="22"/>
          <w:szCs w:val="22"/>
        </w:rPr>
        <w:t>k v Evropě</w:t>
      </w:r>
      <w:r w:rsidR="004C0C0E" w:rsidRPr="00F202B2">
        <w:rPr>
          <w:sz w:val="22"/>
          <w:szCs w:val="22"/>
        </w:rPr>
        <w:t xml:space="preserve">. </w:t>
      </w:r>
      <w:r w:rsidR="008F4E2A" w:rsidRPr="00F202B2">
        <w:rPr>
          <w:sz w:val="22"/>
          <w:szCs w:val="22"/>
        </w:rPr>
        <w:t>Doporučujeme pozornosti, že SČS připravuje na svých stránkách informace též pro nevidomé a pro neslyšící (překladem do znakové řeči).</w:t>
      </w:r>
      <w:r>
        <w:rPr>
          <w:sz w:val="22"/>
          <w:szCs w:val="22"/>
        </w:rPr>
        <w:t xml:space="preserve"> A právě na tyto</w:t>
      </w:r>
      <w:r w:rsidR="009204F2" w:rsidRPr="00F202B2">
        <w:rPr>
          <w:sz w:val="22"/>
          <w:szCs w:val="22"/>
        </w:rPr>
        <w:t xml:space="preserve"> hendikepované především </w:t>
      </w:r>
      <w:r w:rsidRPr="00F202B2">
        <w:rPr>
          <w:sz w:val="22"/>
          <w:szCs w:val="22"/>
        </w:rPr>
        <w:t xml:space="preserve">se </w:t>
      </w:r>
      <w:r w:rsidR="009204F2" w:rsidRPr="00F202B2">
        <w:rPr>
          <w:sz w:val="22"/>
          <w:szCs w:val="22"/>
        </w:rPr>
        <w:t>zaměřuje nová směrnice EU.</w:t>
      </w:r>
    </w:p>
    <w:p w:rsidR="008F4E2A" w:rsidRPr="00F202B2" w:rsidRDefault="0089575C" w:rsidP="00E25CCC">
      <w:pPr>
        <w:spacing w:after="120"/>
        <w:jc w:val="both"/>
        <w:rPr>
          <w:i/>
          <w:sz w:val="22"/>
          <w:szCs w:val="22"/>
        </w:rPr>
      </w:pPr>
      <w:r w:rsidRPr="00F202B2">
        <w:rPr>
          <w:sz w:val="22"/>
          <w:szCs w:val="22"/>
        </w:rPr>
        <w:t>„</w:t>
      </w:r>
      <w:r w:rsidR="008F4E2A" w:rsidRPr="00F202B2">
        <w:rPr>
          <w:i/>
          <w:sz w:val="22"/>
          <w:szCs w:val="22"/>
        </w:rPr>
        <w:t>SČS velmi vítalo evropskou iniciativu a přípravu nové směrnice EU o přístupnosti webových stránek veřejných subjektů</w:t>
      </w:r>
      <w:r w:rsidRPr="00F202B2">
        <w:rPr>
          <w:sz w:val="22"/>
          <w:szCs w:val="22"/>
        </w:rPr>
        <w:t>,“ informuje Libor Dupal, ředitel SČS a dodává: „</w:t>
      </w:r>
      <w:r w:rsidR="008F4E2A" w:rsidRPr="00F202B2">
        <w:rPr>
          <w:i/>
          <w:sz w:val="22"/>
          <w:szCs w:val="22"/>
        </w:rPr>
        <w:t>Tuto iniciativu jsme podpořili různými prostředky, např. šířením otevřeného dopisu s apelem na pod</w:t>
      </w:r>
      <w:r w:rsidR="009204F2" w:rsidRPr="00F202B2">
        <w:rPr>
          <w:i/>
          <w:sz w:val="22"/>
          <w:szCs w:val="22"/>
        </w:rPr>
        <w:t>poru</w:t>
      </w:r>
      <w:r w:rsidR="008F4E2A" w:rsidRPr="00F202B2">
        <w:rPr>
          <w:i/>
          <w:sz w:val="22"/>
          <w:szCs w:val="22"/>
        </w:rPr>
        <w:t xml:space="preserve"> </w:t>
      </w:r>
      <w:r w:rsidRPr="00F202B2">
        <w:rPr>
          <w:i/>
          <w:sz w:val="22"/>
          <w:szCs w:val="22"/>
        </w:rPr>
        <w:t>legislativního</w:t>
      </w:r>
      <w:r w:rsidR="008F4E2A" w:rsidRPr="00F202B2">
        <w:rPr>
          <w:i/>
          <w:sz w:val="22"/>
          <w:szCs w:val="22"/>
        </w:rPr>
        <w:t xml:space="preserve"> návrhu Evropské komise a to v</w:t>
      </w:r>
      <w:r w:rsidRPr="00F202B2">
        <w:rPr>
          <w:i/>
          <w:sz w:val="22"/>
          <w:szCs w:val="22"/>
        </w:rPr>
        <w:t xml:space="preserve"> jeho </w:t>
      </w:r>
      <w:r w:rsidR="008F4E2A" w:rsidRPr="00F202B2">
        <w:rPr>
          <w:i/>
          <w:sz w:val="22"/>
          <w:szCs w:val="22"/>
        </w:rPr>
        <w:t>širší podobě, nebo</w:t>
      </w:r>
      <w:r w:rsidRPr="00F202B2">
        <w:rPr>
          <w:i/>
          <w:sz w:val="22"/>
          <w:szCs w:val="22"/>
        </w:rPr>
        <w:t xml:space="preserve">ť se projevily </w:t>
      </w:r>
      <w:r w:rsidR="008F4E2A" w:rsidRPr="00F202B2">
        <w:rPr>
          <w:i/>
          <w:sz w:val="22"/>
          <w:szCs w:val="22"/>
        </w:rPr>
        <w:t xml:space="preserve">tendence k výraznému omezení působnosti regulace. Logicky považujeme za </w:t>
      </w:r>
      <w:r w:rsidR="00E25CCC" w:rsidRPr="00F202B2">
        <w:rPr>
          <w:i/>
          <w:sz w:val="22"/>
          <w:szCs w:val="22"/>
        </w:rPr>
        <w:t xml:space="preserve">velký úspěch, že Evropský parlament </w:t>
      </w:r>
      <w:r w:rsidR="003C1253" w:rsidRPr="00F202B2">
        <w:rPr>
          <w:i/>
          <w:sz w:val="22"/>
          <w:szCs w:val="22"/>
        </w:rPr>
        <w:t>schválil v říjnu</w:t>
      </w:r>
      <w:r w:rsidR="00E25CCC" w:rsidRPr="00F202B2">
        <w:rPr>
          <w:i/>
          <w:sz w:val="22"/>
          <w:szCs w:val="22"/>
        </w:rPr>
        <w:t xml:space="preserve"> </w:t>
      </w:r>
      <w:r w:rsidR="009204F2" w:rsidRPr="00F202B2">
        <w:rPr>
          <w:i/>
          <w:sz w:val="22"/>
          <w:szCs w:val="22"/>
        </w:rPr>
        <w:t>s</w:t>
      </w:r>
      <w:r w:rsidR="00E25CCC" w:rsidRPr="00F202B2">
        <w:rPr>
          <w:i/>
          <w:sz w:val="22"/>
          <w:szCs w:val="22"/>
        </w:rPr>
        <w:t>měrnici o dostupnosti veřejných stránek všem spotřebitelům bez ohledu na věk a zdravotní ome</w:t>
      </w:r>
      <w:r w:rsidR="00CE4745" w:rsidRPr="00F202B2">
        <w:rPr>
          <w:i/>
          <w:sz w:val="22"/>
          <w:szCs w:val="22"/>
        </w:rPr>
        <w:t xml:space="preserve">zení. </w:t>
      </w:r>
      <w:r w:rsidRPr="00F202B2">
        <w:rPr>
          <w:i/>
          <w:sz w:val="22"/>
          <w:szCs w:val="22"/>
        </w:rPr>
        <w:t xml:space="preserve">Pro naši práci je velmi podstatné, že směrnice se bude provádět prostřednictvím technických norem. SČS ve spolupráci s Kabinetem pro standardizaci, o.p.s. považuje zapojení spotřebitelů </w:t>
      </w:r>
      <w:r w:rsidR="009204F2" w:rsidRPr="00F202B2">
        <w:rPr>
          <w:i/>
          <w:sz w:val="22"/>
          <w:szCs w:val="22"/>
        </w:rPr>
        <w:t xml:space="preserve">do normalizace </w:t>
      </w:r>
      <w:r w:rsidRPr="00F202B2">
        <w:rPr>
          <w:i/>
          <w:sz w:val="22"/>
          <w:szCs w:val="22"/>
        </w:rPr>
        <w:t xml:space="preserve">za důležitou prioritu svých aktivit a </w:t>
      </w:r>
      <w:r w:rsidR="009204F2" w:rsidRPr="00F202B2">
        <w:rPr>
          <w:i/>
          <w:sz w:val="22"/>
          <w:szCs w:val="22"/>
        </w:rPr>
        <w:t xml:space="preserve">technické normy </w:t>
      </w:r>
      <w:r w:rsidRPr="00F202B2">
        <w:rPr>
          <w:i/>
          <w:sz w:val="22"/>
          <w:szCs w:val="22"/>
        </w:rPr>
        <w:t>za důležitý nástroj zajištění bezpečnosti a kvality výrobků a služeb.“</w:t>
      </w:r>
    </w:p>
    <w:p w:rsidR="0089575C" w:rsidRPr="00F202B2" w:rsidRDefault="009204F2" w:rsidP="00E25CCC">
      <w:pPr>
        <w:spacing w:after="120"/>
        <w:jc w:val="both"/>
        <w:rPr>
          <w:sz w:val="22"/>
          <w:szCs w:val="22"/>
        </w:rPr>
      </w:pPr>
      <w:r w:rsidRPr="00F202B2">
        <w:rPr>
          <w:sz w:val="22"/>
          <w:szCs w:val="22"/>
        </w:rPr>
        <w:t xml:space="preserve">Bylo to vyčerpávající, vždyť první návrh byl předložen v r. 2012. </w:t>
      </w:r>
      <w:r w:rsidR="00F202B2" w:rsidRPr="00F202B2">
        <w:rPr>
          <w:sz w:val="22"/>
          <w:szCs w:val="22"/>
        </w:rPr>
        <w:t>Směrnice vstoupí v účinnost několik týdnů po oficiálním zveřejnění. Na zavedení směrnice mají členské státy téměř dva roky. Vlastní implementace směrnice bude realizována prostřednictvím harmonizovaných norem, přijímaných evropskými normalizačními organizacemi. V souladu s nimi budou stránky veřejných organizací postupně upravovány.</w:t>
      </w:r>
    </w:p>
    <w:p w:rsidR="00CE4745" w:rsidRPr="00F202B2" w:rsidRDefault="00CE4745" w:rsidP="00CE4745">
      <w:pPr>
        <w:tabs>
          <w:tab w:val="num" w:pos="720"/>
          <w:tab w:val="num" w:pos="993"/>
        </w:tabs>
        <w:spacing w:after="120"/>
        <w:jc w:val="both"/>
        <w:rPr>
          <w:sz w:val="22"/>
          <w:szCs w:val="22"/>
        </w:rPr>
      </w:pPr>
      <w:r w:rsidRPr="00F202B2">
        <w:rPr>
          <w:sz w:val="22"/>
          <w:szCs w:val="22"/>
        </w:rPr>
        <w:t xml:space="preserve">Kontakty, informace – Ing. Libor Dupal, </w:t>
      </w:r>
      <w:hyperlink r:id="rId11" w:history="1">
        <w:r w:rsidRPr="00F202B2">
          <w:rPr>
            <w:rStyle w:val="Hypertextovodkaz"/>
            <w:sz w:val="22"/>
            <w:szCs w:val="22"/>
          </w:rPr>
          <w:t>dupal@regio.cz</w:t>
        </w:r>
      </w:hyperlink>
      <w:r w:rsidRPr="00F202B2">
        <w:rPr>
          <w:sz w:val="22"/>
          <w:szCs w:val="22"/>
        </w:rPr>
        <w:t>; tel. 602561856</w:t>
      </w:r>
    </w:p>
    <w:p w:rsidR="003C1253" w:rsidRDefault="003C1253" w:rsidP="003C1253">
      <w:pPr>
        <w:pStyle w:val="Normlnweb"/>
        <w:spacing w:before="0" w:beforeAutospacing="0" w:after="0" w:afterAutospacing="0"/>
        <w:rPr>
          <w:sz w:val="18"/>
          <w:szCs w:val="18"/>
        </w:rPr>
      </w:pPr>
      <w:r>
        <w:rPr>
          <w:b/>
          <w:sz w:val="18"/>
          <w:szCs w:val="18"/>
        </w:rPr>
        <w:t>Sdružení českých spotřebitelů, z.ú.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3C1253" w:rsidRDefault="003C1253" w:rsidP="003C1253">
      <w:pPr>
        <w:rPr>
          <w:sz w:val="18"/>
          <w:szCs w:val="18"/>
        </w:rPr>
      </w:pPr>
      <w:r w:rsidRPr="008516C6">
        <w:rPr>
          <w:sz w:val="18"/>
          <w:szCs w:val="18"/>
        </w:rPr>
        <w:t xml:space="preserve">Pod Altánem 99/103; 100 00  Praha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12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3" w:history="1">
        <w:r w:rsidRPr="00A67115">
          <w:rPr>
            <w:sz w:val="18"/>
            <w:szCs w:val="18"/>
          </w:rPr>
          <w:t>www.konzument.cz</w:t>
        </w:r>
      </w:hyperlink>
    </w:p>
    <w:p w:rsidR="003C1253" w:rsidRDefault="003C1253" w:rsidP="003C1253">
      <w:pPr>
        <w:pStyle w:val="Normlnweb"/>
        <w:spacing w:before="0" w:beforeAutospacing="0" w:after="0" w:afterAutospacing="0"/>
        <w:rPr>
          <w:b/>
          <w:sz w:val="18"/>
          <w:szCs w:val="18"/>
        </w:rPr>
      </w:pPr>
    </w:p>
    <w:p w:rsidR="003C1253" w:rsidRDefault="003C1253" w:rsidP="003C1253">
      <w:pPr>
        <w:pStyle w:val="Normlnweb"/>
        <w:spacing w:before="0" w:beforeAutospacing="0" w:after="0" w:afterAutospacing="0"/>
        <w:rPr>
          <w:sz w:val="18"/>
          <w:szCs w:val="18"/>
        </w:rPr>
      </w:pPr>
      <w:r>
        <w:rPr>
          <w:b/>
          <w:sz w:val="18"/>
          <w:szCs w:val="18"/>
        </w:rPr>
        <w:t>Kabinet pro standardizaci, o.p.s. (KaStan)</w:t>
      </w:r>
      <w:r>
        <w:rPr>
          <w:sz w:val="18"/>
          <w:szCs w:val="18"/>
        </w:rPr>
        <w:t xml:space="preserve"> je nezávislou obecně prospěšnou společností založenou </w:t>
      </w:r>
      <w:r w:rsidRPr="00A67115">
        <w:rPr>
          <w:sz w:val="18"/>
          <w:szCs w:val="18"/>
        </w:rPr>
        <w:t>Sdružení</w:t>
      </w:r>
      <w:r>
        <w:rPr>
          <w:sz w:val="18"/>
          <w:szCs w:val="18"/>
        </w:rPr>
        <w:t>m</w:t>
      </w:r>
      <w:r w:rsidRPr="00A67115">
        <w:rPr>
          <w:sz w:val="18"/>
          <w:szCs w:val="18"/>
        </w:rPr>
        <w:t xml:space="preserve"> českých spotřebitelů</w:t>
      </w:r>
      <w:r>
        <w:rPr>
          <w:sz w:val="18"/>
          <w:szCs w:val="18"/>
        </w:rPr>
        <w:t xml:space="preserve">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norem. </w:t>
      </w:r>
    </w:p>
    <w:p w:rsidR="003C1253" w:rsidRDefault="003C1253" w:rsidP="003C1253">
      <w:pPr>
        <w:rPr>
          <w:rFonts w:ascii="Arial" w:hAnsi="Arial" w:cs="Arial"/>
          <w:color w:val="333399"/>
          <w:sz w:val="18"/>
          <w:szCs w:val="18"/>
        </w:rPr>
      </w:pPr>
      <w:r w:rsidRPr="008516C6">
        <w:rPr>
          <w:sz w:val="18"/>
          <w:szCs w:val="18"/>
        </w:rPr>
        <w:t xml:space="preserve">Pod Altánem 99/103; 100 00  Praha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normy@regio.cz; www.top-normy.cz </w:t>
      </w:r>
    </w:p>
    <w:p w:rsidR="00663F0B" w:rsidRPr="00663F0B" w:rsidRDefault="00663F0B" w:rsidP="003C1253">
      <w:pPr>
        <w:spacing w:after="120"/>
        <w:jc w:val="both"/>
      </w:pPr>
    </w:p>
    <w:sectPr w:rsidR="00663F0B" w:rsidRPr="00663F0B" w:rsidSect="00B363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A7" w:rsidRDefault="001123A7">
      <w:r>
        <w:separator/>
      </w:r>
    </w:p>
  </w:endnote>
  <w:endnote w:type="continuationSeparator" w:id="0">
    <w:p w:rsidR="001123A7" w:rsidRDefault="0011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5A6319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A7" w:rsidRDefault="001123A7">
      <w:r>
        <w:separator/>
      </w:r>
    </w:p>
  </w:footnote>
  <w:footnote w:type="continuationSeparator" w:id="0">
    <w:p w:rsidR="001123A7" w:rsidRDefault="0011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1123A7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127E0"/>
    <w:rsid w:val="000900BE"/>
    <w:rsid w:val="000C3A95"/>
    <w:rsid w:val="000F054E"/>
    <w:rsid w:val="001123A7"/>
    <w:rsid w:val="00125C7F"/>
    <w:rsid w:val="0018143B"/>
    <w:rsid w:val="001F79A2"/>
    <w:rsid w:val="00262E00"/>
    <w:rsid w:val="002F0906"/>
    <w:rsid w:val="003049EB"/>
    <w:rsid w:val="00375D17"/>
    <w:rsid w:val="003C1253"/>
    <w:rsid w:val="003D074B"/>
    <w:rsid w:val="0046589A"/>
    <w:rsid w:val="00470793"/>
    <w:rsid w:val="00490E7B"/>
    <w:rsid w:val="00492112"/>
    <w:rsid w:val="004B75E0"/>
    <w:rsid w:val="004C0C0E"/>
    <w:rsid w:val="004D59FA"/>
    <w:rsid w:val="004E4964"/>
    <w:rsid w:val="0051083E"/>
    <w:rsid w:val="00577130"/>
    <w:rsid w:val="005A6319"/>
    <w:rsid w:val="005C4D59"/>
    <w:rsid w:val="005D70E3"/>
    <w:rsid w:val="00652B75"/>
    <w:rsid w:val="00663F0B"/>
    <w:rsid w:val="006D7004"/>
    <w:rsid w:val="0070201E"/>
    <w:rsid w:val="007256ED"/>
    <w:rsid w:val="00773644"/>
    <w:rsid w:val="007C0E24"/>
    <w:rsid w:val="007D0D51"/>
    <w:rsid w:val="007D56A8"/>
    <w:rsid w:val="007D5A0C"/>
    <w:rsid w:val="00813104"/>
    <w:rsid w:val="00822518"/>
    <w:rsid w:val="00850699"/>
    <w:rsid w:val="0089575C"/>
    <w:rsid w:val="008B194A"/>
    <w:rsid w:val="008F4E2A"/>
    <w:rsid w:val="00916AD3"/>
    <w:rsid w:val="009204F2"/>
    <w:rsid w:val="00947FE7"/>
    <w:rsid w:val="00A04596"/>
    <w:rsid w:val="00A36BBB"/>
    <w:rsid w:val="00A62800"/>
    <w:rsid w:val="00AC2B76"/>
    <w:rsid w:val="00AD7D8A"/>
    <w:rsid w:val="00AE2781"/>
    <w:rsid w:val="00AE5DB9"/>
    <w:rsid w:val="00B36373"/>
    <w:rsid w:val="00B51FD5"/>
    <w:rsid w:val="00B71E61"/>
    <w:rsid w:val="00C2672A"/>
    <w:rsid w:val="00C94C38"/>
    <w:rsid w:val="00CC5F08"/>
    <w:rsid w:val="00CE4745"/>
    <w:rsid w:val="00D16755"/>
    <w:rsid w:val="00D62193"/>
    <w:rsid w:val="00DD75D6"/>
    <w:rsid w:val="00E24434"/>
    <w:rsid w:val="00E25CCC"/>
    <w:rsid w:val="00E9261F"/>
    <w:rsid w:val="00F202B2"/>
    <w:rsid w:val="00F9417C"/>
    <w:rsid w:val="00FB5198"/>
    <w:rsid w:val="00FB6CBB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4026F"/>
  <w15:docId w15:val="{28293395-0619-4C9B-8168-2AC4B1AA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8F4E2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rsid w:val="00663F0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63F0B"/>
    <w:rPr>
      <w:b/>
      <w:bCs/>
    </w:rPr>
  </w:style>
  <w:style w:type="paragraph" w:customStyle="1" w:styleId="Normln0">
    <w:name w:val="Normální~"/>
    <w:basedOn w:val="Normln"/>
    <w:rsid w:val="00CE4745"/>
    <w:pPr>
      <w:widowControl w:val="0"/>
      <w:spacing w:line="288" w:lineRule="auto"/>
    </w:pPr>
    <w:rPr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94C38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F4E2A"/>
    <w:rPr>
      <w:b/>
      <w:bCs/>
      <w:sz w:val="24"/>
      <w:szCs w:val="24"/>
    </w:rPr>
  </w:style>
  <w:style w:type="paragraph" w:styleId="Normlnweb">
    <w:name w:val="Normal (Web)"/>
    <w:basedOn w:val="Normln"/>
    <w:unhideWhenUsed/>
    <w:rsid w:val="003C12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users/publications/10-top-normy/194-zranitelny-spotrebitel-kdo-to-je-jak-ho-chranit.pdf" TargetMode="External"/><Relationship Id="rId13" Type="http://schemas.openxmlformats.org/officeDocument/2006/relationships/hyperlink" Target="http://www.konzument.cz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p-normy.cz/temata-normalizace/10-chovani-trhu-i/14-zranitelni-spotrebitele/narodni-konference-2016.php" TargetMode="External"/><Relationship Id="rId12" Type="http://schemas.openxmlformats.org/officeDocument/2006/relationships/hyperlink" Target="mailto:dupal@regio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pal@regi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onzument.cz/users/publications/10-top-normy/202-pro-bezpecnost-deti-v-automobilech-zadrzne-systemy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users/publications/10-top-normy/197-pristupnost-vyrobku-a-sluzeb-pro-zvlast-zranitelne-spotrebitele-obsah-a-funkce-technickych-norem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4</cp:revision>
  <cp:lastPrinted>2016-11-27T10:27:00Z</cp:lastPrinted>
  <dcterms:created xsi:type="dcterms:W3CDTF">2016-12-05T07:41:00Z</dcterms:created>
  <dcterms:modified xsi:type="dcterms:W3CDTF">2016-12-05T07:42:00Z</dcterms:modified>
</cp:coreProperties>
</file>