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16" w:rsidRPr="00435F90" w:rsidRDefault="00C60816" w:rsidP="001158E3">
      <w:pPr>
        <w:spacing w:after="120"/>
        <w:jc w:val="center"/>
        <w:rPr>
          <w:b/>
        </w:rPr>
      </w:pPr>
      <w:r w:rsidRPr="00435F90">
        <w:rPr>
          <w:b/>
        </w:rPr>
        <w:t>TISKOVÁ ZPRÁVA</w:t>
      </w:r>
    </w:p>
    <w:p w:rsidR="00C60816" w:rsidRPr="00435F90" w:rsidRDefault="00C60816" w:rsidP="001158E3">
      <w:pPr>
        <w:spacing w:after="120"/>
        <w:jc w:val="center"/>
        <w:rPr>
          <w:b/>
        </w:rPr>
      </w:pPr>
      <w:r w:rsidRPr="00435F90">
        <w:rPr>
          <w:b/>
        </w:rPr>
        <w:t>Sdružení českých spotřebitelů (SČS)</w:t>
      </w:r>
    </w:p>
    <w:p w:rsidR="00C60816" w:rsidRDefault="00086BAA" w:rsidP="001158E3">
      <w:pPr>
        <w:spacing w:after="120"/>
        <w:ind w:left="360"/>
        <w:jc w:val="center"/>
        <w:rPr>
          <w:b/>
        </w:rPr>
      </w:pPr>
      <w:r w:rsidRPr="00435F90">
        <w:rPr>
          <w:b/>
        </w:rPr>
        <w:t>BEZPEČNOST NA DĚTSKÉM HŘIŠTI</w:t>
      </w:r>
      <w:r>
        <w:rPr>
          <w:b/>
        </w:rPr>
        <w:t xml:space="preserve"> -</w:t>
      </w:r>
    </w:p>
    <w:p w:rsidR="00086BAA" w:rsidRPr="00435F90" w:rsidRDefault="00086BAA" w:rsidP="001158E3">
      <w:pPr>
        <w:spacing w:after="120"/>
        <w:ind w:left="360"/>
        <w:jc w:val="center"/>
        <w:rPr>
          <w:b/>
        </w:rPr>
      </w:pPr>
      <w:r>
        <w:rPr>
          <w:b/>
        </w:rPr>
        <w:t xml:space="preserve">NYNÍ </w:t>
      </w:r>
      <w:r w:rsidRPr="00086BAA">
        <w:rPr>
          <w:b/>
        </w:rPr>
        <w:t>S PODPOROU Z PROGRAMU ŠVÝCARSKO-ČESKÉ SPOLUPRÁCE</w:t>
      </w:r>
    </w:p>
    <w:p w:rsidR="00C60816" w:rsidRPr="00435F90" w:rsidRDefault="00707CE2" w:rsidP="001158E3">
      <w:pPr>
        <w:spacing w:after="120"/>
        <w:jc w:val="center"/>
      </w:pPr>
      <w:r w:rsidRPr="00435F90">
        <w:t>V Praze – 2016</w:t>
      </w:r>
      <w:r w:rsidR="00C60816" w:rsidRPr="00435F90">
        <w:t>-0</w:t>
      </w:r>
      <w:r w:rsidR="006F6917">
        <w:t>5</w:t>
      </w:r>
      <w:r w:rsidR="00C60816" w:rsidRPr="00435F90">
        <w:t>-</w:t>
      </w:r>
      <w:r w:rsidR="007C1DD0">
        <w:t>10</w:t>
      </w:r>
      <w:bookmarkStart w:id="0" w:name="_GoBack"/>
      <w:bookmarkEnd w:id="0"/>
    </w:p>
    <w:p w:rsidR="00CD267F" w:rsidRPr="00435F90" w:rsidRDefault="00435F90" w:rsidP="001158E3">
      <w:pPr>
        <w:spacing w:after="120"/>
        <w:jc w:val="both"/>
      </w:pPr>
      <w:r w:rsidRPr="00435F90">
        <w:t>S postupujícím jarem se více a více</w:t>
      </w:r>
      <w:r w:rsidR="00873A0E" w:rsidRPr="00435F90">
        <w:t xml:space="preserve"> začínají využívat </w:t>
      </w:r>
      <w:r w:rsidR="007B4D8D" w:rsidRPr="00435F90">
        <w:t>dětská hřiště a další veřejná zařízení</w:t>
      </w:r>
      <w:r w:rsidRPr="00435F90">
        <w:t>, sloužící pro hru, sport a pohybové vyžití dětí.</w:t>
      </w:r>
      <w:r w:rsidR="00086BAA">
        <w:t xml:space="preserve"> Bohužel, </w:t>
      </w:r>
      <w:r w:rsidRPr="00435F90">
        <w:t>mnoho hřišť</w:t>
      </w:r>
      <w:r w:rsidR="007B4D8D" w:rsidRPr="00435F90">
        <w:t xml:space="preserve"> </w:t>
      </w:r>
      <w:r w:rsidRPr="00435F90">
        <w:t xml:space="preserve">není </w:t>
      </w:r>
      <w:r w:rsidR="007B4D8D" w:rsidRPr="00435F90">
        <w:t>bezpečn</w:t>
      </w:r>
      <w:r w:rsidRPr="00435F90">
        <w:t xml:space="preserve">ých. Dochází </w:t>
      </w:r>
      <w:r w:rsidR="007B4D8D" w:rsidRPr="00435F90">
        <w:t>k</w:t>
      </w:r>
      <w:r w:rsidR="001158E3">
        <w:t> </w:t>
      </w:r>
      <w:r w:rsidR="007B4D8D" w:rsidRPr="00435F90">
        <w:t>úrazům</w:t>
      </w:r>
      <w:r w:rsidR="001158E3">
        <w:t>,</w:t>
      </w:r>
      <w:r w:rsidRPr="00435F90">
        <w:t xml:space="preserve"> a někdy i vážným.</w:t>
      </w:r>
      <w:r w:rsidR="007B4D8D" w:rsidRPr="00435F90">
        <w:t xml:space="preserve"> </w:t>
      </w:r>
    </w:p>
    <w:p w:rsidR="00435F90" w:rsidRDefault="004176BF" w:rsidP="001158E3">
      <w:pPr>
        <w:spacing w:after="120"/>
        <w:jc w:val="both"/>
      </w:pPr>
      <w:r w:rsidRPr="00435F90">
        <w:t xml:space="preserve">Ročně je v České republice hospitalizováno cca 30 000 dětí, z toho 9% (cca 2 700) pro úraz způsobený na dětském hřišti, resp. 8% (cca 2400) pro úraz způsobený na sportovišti. </w:t>
      </w:r>
      <w:r w:rsidR="00435F90">
        <w:t>Ambulantní ošetření bohužel nejsou evidována z hlediska původu úrazu, není pochyb, že tato čísla budou podstatně vyšší, než jsou údaje z traumatologických center.</w:t>
      </w:r>
    </w:p>
    <w:p w:rsidR="00A66E25" w:rsidRDefault="004176BF" w:rsidP="001158E3">
      <w:pPr>
        <w:spacing w:after="120"/>
        <w:jc w:val="both"/>
      </w:pPr>
      <w:r w:rsidRPr="00435F90">
        <w:t>Jistě, je řada úrazů, které jsou způsobeny dováděním</w:t>
      </w:r>
      <w:r w:rsidR="00435F90">
        <w:t xml:space="preserve"> či</w:t>
      </w:r>
      <w:r w:rsidRPr="00435F90">
        <w:t xml:space="preserve"> přirozenou neukázněností dítěte, kter</w:t>
      </w:r>
      <w:r w:rsidR="00A66E25">
        <w:t>ým</w:t>
      </w:r>
      <w:r w:rsidRPr="00435F90">
        <w:t xml:space="preserve"> rodič či dohlížející pedagog nedokáže vždy předejít. Mnohé úrazy jsou ovšem způsobeny špatnou technickou kvalitou</w:t>
      </w:r>
      <w:r w:rsidR="00DD1642" w:rsidRPr="00435F90">
        <w:t xml:space="preserve"> </w:t>
      </w:r>
      <w:r w:rsidR="00A66E25">
        <w:t xml:space="preserve">prvků na hřišti, sportovišti či v tělocvičně. Neshoda </w:t>
      </w:r>
      <w:r w:rsidR="00F7137C" w:rsidRPr="00435F90">
        <w:t>s požadavky norem</w:t>
      </w:r>
      <w:r w:rsidR="00A66E25">
        <w:t xml:space="preserve"> může být způsobena již </w:t>
      </w:r>
      <w:r w:rsidR="00F7137C" w:rsidRPr="00435F90">
        <w:t xml:space="preserve">montážními závadami </w:t>
      </w:r>
      <w:r w:rsidR="00A66E25">
        <w:t xml:space="preserve">při stavbě zařízení, anebo později opotřebením či poškozením prvků. </w:t>
      </w:r>
    </w:p>
    <w:p w:rsidR="008B6151" w:rsidRPr="00435F90" w:rsidRDefault="008B6151" w:rsidP="001158E3">
      <w:pPr>
        <w:spacing w:after="120"/>
        <w:jc w:val="both"/>
      </w:pPr>
      <w:r w:rsidRPr="00435F90">
        <w:t xml:space="preserve">O </w:t>
      </w:r>
      <w:r w:rsidR="00A66E25">
        <w:t>špatné situaci</w:t>
      </w:r>
      <w:r w:rsidRPr="00435F90">
        <w:t xml:space="preserve"> svědčí </w:t>
      </w:r>
      <w:r w:rsidR="00A66E25">
        <w:t xml:space="preserve">i </w:t>
      </w:r>
      <w:r w:rsidRPr="00435F90">
        <w:t xml:space="preserve">nálezy České obchodní inspekce, která se bezpečnosti dětských hřišť v minulých letech </w:t>
      </w:r>
      <w:r w:rsidR="00A66E25">
        <w:t>zabývala. Z</w:t>
      </w:r>
      <w:r w:rsidRPr="00435F90">
        <w:t>hruba 30% dětských hřišť vykaz</w:t>
      </w:r>
      <w:r w:rsidR="00A66E25">
        <w:t>ovalo</w:t>
      </w:r>
      <w:r w:rsidRPr="00435F90">
        <w:t xml:space="preserve"> nedostatky</w:t>
      </w:r>
      <w:r w:rsidR="00A66E25">
        <w:t>.</w:t>
      </w:r>
      <w:r w:rsidRPr="00435F90">
        <w:t xml:space="preserve"> Naše zjištění jsou ještě horší.</w:t>
      </w:r>
    </w:p>
    <w:p w:rsidR="00B05A26" w:rsidRDefault="00A66E25" w:rsidP="00B05A26">
      <w:pPr>
        <w:tabs>
          <w:tab w:val="left" w:pos="9639"/>
        </w:tabs>
        <w:spacing w:after="120"/>
        <w:ind w:right="1"/>
        <w:jc w:val="both"/>
      </w:pPr>
      <w:r>
        <w:t xml:space="preserve">Sdružení českých spotřebitelů </w:t>
      </w:r>
      <w:r w:rsidR="001158E3">
        <w:t xml:space="preserve">(SČS) </w:t>
      </w:r>
      <w:r>
        <w:t>se s partnery dlouhodobě snaží o zlepšení situace v provozování veřejných zařízení.</w:t>
      </w:r>
      <w:r w:rsidR="00B05A26">
        <w:t xml:space="preserve"> </w:t>
      </w:r>
    </w:p>
    <w:p w:rsidR="00606953" w:rsidRDefault="004176BF" w:rsidP="001158E3">
      <w:pPr>
        <w:tabs>
          <w:tab w:val="left" w:pos="9639"/>
        </w:tabs>
        <w:spacing w:after="120"/>
        <w:ind w:right="1"/>
        <w:jc w:val="both"/>
      </w:pPr>
      <w:r w:rsidRPr="00435F90">
        <w:t xml:space="preserve">A právě </w:t>
      </w:r>
      <w:r w:rsidR="00C60816" w:rsidRPr="00435F90">
        <w:t xml:space="preserve">zajištěním odpovídajících technických parametrů herních a sportovních prvků a vybavení a také zajištěním správných podmínek provozování zařízení lze míru rizika </w:t>
      </w:r>
      <w:r w:rsidR="001158E3">
        <w:t>významně</w:t>
      </w:r>
      <w:r w:rsidR="00C60816" w:rsidRPr="00435F90">
        <w:t xml:space="preserve"> snížit. </w:t>
      </w:r>
      <w:r w:rsidR="008B6151" w:rsidRPr="00435F90">
        <w:t>Cí</w:t>
      </w:r>
      <w:r w:rsidR="00C60816" w:rsidRPr="00435F90">
        <w:t>lenou prevenc</w:t>
      </w:r>
      <w:r w:rsidR="008B6151" w:rsidRPr="00435F90">
        <w:t xml:space="preserve">i </w:t>
      </w:r>
      <w:r w:rsidR="00C60816" w:rsidRPr="00435F90">
        <w:t xml:space="preserve">rozvíjíme na základě </w:t>
      </w:r>
      <w:r w:rsidR="00086BAA">
        <w:t xml:space="preserve">uplatňování a dodržování </w:t>
      </w:r>
      <w:r w:rsidR="00C60816" w:rsidRPr="00435F90">
        <w:t>evropských norem pro zařízení dětských hřišť</w:t>
      </w:r>
      <w:r w:rsidR="00B05A26">
        <w:t>,</w:t>
      </w:r>
      <w:r w:rsidR="00C60816" w:rsidRPr="00435F90">
        <w:t xml:space="preserve"> </w:t>
      </w:r>
      <w:r w:rsidR="00B05A26">
        <w:t>sportovišť</w:t>
      </w:r>
      <w:r w:rsidR="00C60816" w:rsidRPr="00435F90">
        <w:t xml:space="preserve"> a tělocvič</w:t>
      </w:r>
      <w:r w:rsidR="00B05A26">
        <w:t>en</w:t>
      </w:r>
      <w:r w:rsidR="00C60816" w:rsidRPr="00435F90">
        <w:t xml:space="preserve">. </w:t>
      </w:r>
      <w:r w:rsidR="00166A48" w:rsidRPr="00435F90">
        <w:t>Technické normy d</w:t>
      </w:r>
      <w:r w:rsidR="00C60816" w:rsidRPr="00435F90">
        <w:t xml:space="preserve">efinují bezpečnostní požadavky na herní a sportovní prvky, jejich vzájemné bezpečné umístění na hřišti a sportovišti, základní podmínky správného provozu, např. zajišťování </w:t>
      </w:r>
      <w:r w:rsidR="00606953" w:rsidRPr="006F6917">
        <w:t xml:space="preserve">vstupních a ročních </w:t>
      </w:r>
      <w:r w:rsidR="00C60816" w:rsidRPr="00435F90">
        <w:t>kontr</w:t>
      </w:r>
      <w:r w:rsidR="00606953">
        <w:t xml:space="preserve">ol zařízení, i metodik zkoušení </w:t>
      </w:r>
      <w:r w:rsidR="00606953" w:rsidRPr="006F6917">
        <w:t>nezávislou třetí stranou.</w:t>
      </w:r>
      <w:r w:rsidR="00C60816" w:rsidRPr="006F6917">
        <w:t xml:space="preserve"> </w:t>
      </w:r>
      <w:r w:rsidR="00606953" w:rsidRPr="006F6917">
        <w:t xml:space="preserve">K tomu byl zřízen např. akreditovaný systém revizních techniků pod certifikací České společnosti pro jakost. </w:t>
      </w:r>
    </w:p>
    <w:p w:rsidR="008B6151" w:rsidRPr="00435F90" w:rsidRDefault="00C60816" w:rsidP="001158E3">
      <w:pPr>
        <w:tabs>
          <w:tab w:val="left" w:pos="9639"/>
        </w:tabs>
        <w:spacing w:after="120"/>
        <w:ind w:right="1"/>
        <w:jc w:val="both"/>
      </w:pPr>
      <w:r w:rsidRPr="00435F90">
        <w:t>Použití norem je ovšem v principu dobrovolné</w:t>
      </w:r>
      <w:r w:rsidR="00DD1642" w:rsidRPr="00435F90">
        <w:t xml:space="preserve"> -</w:t>
      </w:r>
      <w:r w:rsidR="002C79C7" w:rsidRPr="00435F90">
        <w:t xml:space="preserve"> </w:t>
      </w:r>
      <w:r w:rsidRPr="00435F90">
        <w:t xml:space="preserve">proto </w:t>
      </w:r>
      <w:r w:rsidR="008B6151" w:rsidRPr="00435F90">
        <w:t xml:space="preserve">SČS </w:t>
      </w:r>
      <w:r w:rsidRPr="00435F90">
        <w:t>s partnery vyvíjí a prosazuj</w:t>
      </w:r>
      <w:r w:rsidR="00B05A26">
        <w:t>í</w:t>
      </w:r>
      <w:r w:rsidRPr="00435F90">
        <w:t xml:space="preserve"> taková opatření, která jejich použití v co nejširší míře propagují a podporují. </w:t>
      </w:r>
      <w:r w:rsidR="00DD1642" w:rsidRPr="00435F90">
        <w:t xml:space="preserve">Shoda s normami je totiž zcela zásadní - </w:t>
      </w:r>
      <w:r w:rsidR="00DD1642" w:rsidRPr="00606953">
        <w:rPr>
          <w:b/>
        </w:rPr>
        <w:t>b</w:t>
      </w:r>
      <w:r w:rsidRPr="00606953">
        <w:rPr>
          <w:b/>
        </w:rPr>
        <w:t xml:space="preserve">ez dodržování norem nelze </w:t>
      </w:r>
      <w:r w:rsidR="008B6151" w:rsidRPr="00606953">
        <w:rPr>
          <w:b/>
        </w:rPr>
        <w:t xml:space="preserve">spolehlivě </w:t>
      </w:r>
      <w:r w:rsidRPr="00606953">
        <w:rPr>
          <w:b/>
        </w:rPr>
        <w:t>zajistit bezpečný provoz hřiště či sportoviště.</w:t>
      </w:r>
      <w:r w:rsidRPr="00435F90">
        <w:t xml:space="preserve"> </w:t>
      </w:r>
    </w:p>
    <w:p w:rsidR="00C60816" w:rsidRPr="00435F90" w:rsidRDefault="008B6151" w:rsidP="00086BAA">
      <w:pPr>
        <w:tabs>
          <w:tab w:val="left" w:pos="9639"/>
        </w:tabs>
        <w:spacing w:after="120"/>
        <w:ind w:right="1"/>
        <w:jc w:val="both"/>
      </w:pPr>
      <w:r w:rsidRPr="00435F90">
        <w:t xml:space="preserve">Pro vlastníky, zřizovatele a provozovatele uvedených zařízení jsme formulovali několik </w:t>
      </w:r>
      <w:r w:rsidR="00C60816" w:rsidRPr="00435F90">
        <w:t>základních podmínek správného provozu</w:t>
      </w:r>
      <w:r w:rsidR="00B05A26">
        <w:t xml:space="preserve">, které jsme i vydali tiskem. </w:t>
      </w:r>
      <w:r w:rsidR="00CD267F" w:rsidRPr="00435F90">
        <w:t xml:space="preserve">Jedná se zejména o </w:t>
      </w:r>
      <w:r w:rsidR="00B05A26" w:rsidRPr="00435F90">
        <w:rPr>
          <w:b/>
        </w:rPr>
        <w:t xml:space="preserve">Příručku správné praxe pro bezpečný provoz </w:t>
      </w:r>
      <w:r w:rsidR="00B05A26" w:rsidRPr="00435F90">
        <w:t>veřejných zařízení pro hry a sport dětí a mládeže</w:t>
      </w:r>
      <w:r w:rsidR="00CD267F" w:rsidRPr="00435F90">
        <w:t>.</w:t>
      </w:r>
      <w:r w:rsidR="00B05A26">
        <w:t xml:space="preserve"> </w:t>
      </w:r>
      <w:r w:rsidR="00CA3922" w:rsidRPr="00435F90">
        <w:t xml:space="preserve">Garanci kvality a bezpečnosti veřejných zařízení pro provozovatele </w:t>
      </w:r>
      <w:r w:rsidR="00C60816" w:rsidRPr="00435F90">
        <w:t xml:space="preserve">poskytne </w:t>
      </w:r>
      <w:r w:rsidR="00AA3F27" w:rsidRPr="00435F90">
        <w:t xml:space="preserve">ale také </w:t>
      </w:r>
      <w:r w:rsidR="00C60816" w:rsidRPr="00435F90">
        <w:t xml:space="preserve">značka kvality </w:t>
      </w:r>
      <w:r w:rsidR="00C60816" w:rsidRPr="00435F90">
        <w:rPr>
          <w:b/>
        </w:rPr>
        <w:t>„Hřiště-sportoviště-tělocvična – Ověřený provoz“.</w:t>
      </w:r>
      <w:r w:rsidR="00086BAA">
        <w:rPr>
          <w:b/>
        </w:rPr>
        <w:t xml:space="preserve"> </w:t>
      </w:r>
      <w:r w:rsidR="00C60816" w:rsidRPr="00435F90">
        <w:t xml:space="preserve">Značka je licencí zpřístupněna žadatelům, kteří chtějí prokázat splnění a následné dlouhodobé dodržování </w:t>
      </w:r>
      <w:r w:rsidR="00C60816" w:rsidRPr="00435F90">
        <w:lastRenderedPageBreak/>
        <w:t xml:space="preserve">shody provozovaných herních a sportovních prvků s požadavky legislativy a evropských norem, a i bezpečný provoz </w:t>
      </w:r>
      <w:r w:rsidR="00086BAA">
        <w:t>veřejného zařízení. S</w:t>
      </w:r>
      <w:r w:rsidR="00C60816" w:rsidRPr="00435F90">
        <w:t>tav je každoročně ověřen auditem. Značka byla přijata do programu Česká kvalita, čímž prokázala náročnost podmínek stanovených pro její získání.</w:t>
      </w:r>
    </w:p>
    <w:p w:rsidR="00C60816" w:rsidRPr="00435F90" w:rsidRDefault="00C60816" w:rsidP="00A11DFB">
      <w:pPr>
        <w:tabs>
          <w:tab w:val="num" w:pos="720"/>
          <w:tab w:val="num" w:pos="993"/>
        </w:tabs>
        <w:spacing w:after="120"/>
        <w:jc w:val="center"/>
      </w:pPr>
      <w:r w:rsidRPr="00435F90">
        <w:rPr>
          <w:rFonts w:ascii="Arial Narrow" w:hAnsi="Arial Narrow"/>
          <w:noProof/>
        </w:rPr>
        <w:drawing>
          <wp:inline distT="0" distB="0" distL="0" distR="0" wp14:anchorId="236A338F" wp14:editId="3C48BA2F">
            <wp:extent cx="1367155" cy="744855"/>
            <wp:effectExtent l="0" t="0" r="4445" b="0"/>
            <wp:docPr id="6" name="Obrázek 6" descr="logo_reg_rgb_horizontal_ceska_kva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reg_rgb_horizontal_ceska_kvali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27" w:rsidRPr="00435F90" w:rsidRDefault="00C60816" w:rsidP="001158E3">
      <w:pPr>
        <w:tabs>
          <w:tab w:val="num" w:pos="720"/>
          <w:tab w:val="num" w:pos="993"/>
        </w:tabs>
        <w:spacing w:after="120"/>
        <w:jc w:val="both"/>
        <w:rPr>
          <w:color w:val="0000FF"/>
          <w:u w:val="single"/>
        </w:rPr>
      </w:pPr>
      <w:r w:rsidRPr="00435F90">
        <w:t xml:space="preserve">Správnou praxi provozu sportovních hřišť a sportovišť i značku pro bezpečné hřiště sdružení s partnery propaguje na řadě akcí a seminářů v regionech, v médiích, v odborné literatuře. (Viz též </w:t>
      </w:r>
      <w:hyperlink r:id="rId8" w:history="1">
        <w:r w:rsidRPr="00435F90">
          <w:rPr>
            <w:rStyle w:val="Hypertextovodkaz"/>
          </w:rPr>
          <w:t>www.overenehriste.cz</w:t>
        </w:r>
      </w:hyperlink>
      <w:r w:rsidRPr="00435F90">
        <w:rPr>
          <w:rStyle w:val="Hypertextovodkaz"/>
        </w:rPr>
        <w:t>).</w:t>
      </w:r>
      <w:r w:rsidR="00A11DFB" w:rsidRPr="00A11DFB">
        <w:rPr>
          <w:rStyle w:val="Hypertextovodkaz"/>
          <w:u w:val="none"/>
        </w:rPr>
        <w:t xml:space="preserve"> </w:t>
      </w:r>
      <w:r w:rsidR="000A144F" w:rsidRPr="00086BAA">
        <w:t>Seznam ověřených hřišť naleznete na adrese</w:t>
      </w:r>
      <w:r w:rsidR="000A144F">
        <w:rPr>
          <w:rStyle w:val="Hypertextovodkaz"/>
        </w:rPr>
        <w:t xml:space="preserve"> </w:t>
      </w:r>
      <w:hyperlink r:id="rId9" w:history="1">
        <w:r w:rsidR="000A144F" w:rsidRPr="00D76328">
          <w:rPr>
            <w:rStyle w:val="Hypertextovodkaz"/>
          </w:rPr>
          <w:t>http://www.overenehriste.cz/overena-hriste/seznam-overenych-hrist.php</w:t>
        </w:r>
      </w:hyperlink>
      <w:r w:rsidR="00086BAA">
        <w:rPr>
          <w:rStyle w:val="Hypertextovodkaz"/>
        </w:rPr>
        <w:t xml:space="preserve">. </w:t>
      </w:r>
      <w:r w:rsidR="000A144F">
        <w:rPr>
          <w:rStyle w:val="Hypertextovodkaz"/>
        </w:rPr>
        <w:t xml:space="preserve"> </w:t>
      </w:r>
    </w:p>
    <w:p w:rsidR="00B05A26" w:rsidRPr="00B05A26" w:rsidRDefault="00AA3F27" w:rsidP="00A11DFB">
      <w:pPr>
        <w:tabs>
          <w:tab w:val="num" w:pos="720"/>
          <w:tab w:val="num" w:pos="993"/>
        </w:tabs>
        <w:spacing w:after="120"/>
        <w:jc w:val="both"/>
        <w:rPr>
          <w:b/>
        </w:rPr>
      </w:pPr>
      <w:r w:rsidRPr="00435F90">
        <w:t>Zmíněné semináře organizujeme již několik let pro pracovníky samosprávy, státní správy a školství, pro statutární zástupce z</w:t>
      </w:r>
      <w:r w:rsidR="00C57E4B" w:rsidRPr="00435F90">
        <w:t>ákladních a mateřských škol a provozovatele veřejných zařízení pro hry a sport dětí a mládeže.</w:t>
      </w:r>
      <w:r w:rsidR="00A11DFB">
        <w:t xml:space="preserve"> </w:t>
      </w:r>
      <w:r w:rsidR="00B05A26">
        <w:t xml:space="preserve">Podporu jsme získali i </w:t>
      </w:r>
      <w:r w:rsidR="00B05A26" w:rsidRPr="00B05A26">
        <w:t>z </w:t>
      </w:r>
      <w:r w:rsidR="00B05A26" w:rsidRPr="00B05A26">
        <w:rPr>
          <w:b/>
        </w:rPr>
        <w:t>Programu švýcarsko-české spolupráce</w:t>
      </w:r>
      <w:r w:rsidR="00A11DFB">
        <w:rPr>
          <w:b/>
        </w:rPr>
        <w:t>.</w:t>
      </w:r>
    </w:p>
    <w:p w:rsidR="00B05A26" w:rsidRPr="006C36B2" w:rsidRDefault="00B05A26" w:rsidP="00B05A26">
      <w:pPr>
        <w:pStyle w:val="Bezmezer"/>
        <w:jc w:val="center"/>
        <w:rPr>
          <w:b/>
          <w:bCs/>
        </w:rPr>
      </w:pPr>
      <w:r w:rsidRPr="00B33510">
        <w:rPr>
          <w:noProof/>
          <w:lang w:eastAsia="cs-CZ"/>
        </w:rPr>
        <w:drawing>
          <wp:inline distT="0" distB="0" distL="0" distR="0" wp14:anchorId="3FBF64BE" wp14:editId="2C88A4B1">
            <wp:extent cx="1882140" cy="648335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E7" w:rsidRPr="00435F90" w:rsidRDefault="00510BD5" w:rsidP="001158E3">
      <w:pPr>
        <w:tabs>
          <w:tab w:val="num" w:pos="720"/>
          <w:tab w:val="num" w:pos="993"/>
        </w:tabs>
        <w:spacing w:after="120"/>
        <w:jc w:val="both"/>
      </w:pPr>
      <w:r w:rsidRPr="00435F90">
        <w:t>Bohužel, stále existuje mnoho provozovatelů hřišť a sportoviš</w:t>
      </w:r>
      <w:r w:rsidR="00814835" w:rsidRPr="00435F90">
        <w:t>ť, kteří si neuvědomují svoji zodpovědnost za zdraví a životy dětí, které tráví svůj čas hrou či sportem na jimi spravovaném veřejném zařízení.</w:t>
      </w:r>
      <w:r w:rsidR="00546EE7" w:rsidRPr="00435F90">
        <w:t xml:space="preserve"> </w:t>
      </w:r>
      <w:r w:rsidR="00135513" w:rsidRPr="00435F90">
        <w:t>Některým nehodám předejít nelze, zajistit výše zmíněnou prevenci však ano.</w:t>
      </w:r>
    </w:p>
    <w:p w:rsidR="00C60816" w:rsidRPr="00435F90" w:rsidRDefault="00C60816" w:rsidP="001158E3">
      <w:pPr>
        <w:tabs>
          <w:tab w:val="num" w:pos="720"/>
          <w:tab w:val="num" w:pos="993"/>
        </w:tabs>
        <w:spacing w:after="120"/>
        <w:jc w:val="both"/>
      </w:pPr>
      <w:r w:rsidRPr="00435F90">
        <w:t>Ing. Libor Dupal</w:t>
      </w:r>
    </w:p>
    <w:p w:rsidR="00C60816" w:rsidRPr="00435F90" w:rsidRDefault="00C60816" w:rsidP="001158E3">
      <w:pPr>
        <w:spacing w:after="120"/>
        <w:jc w:val="both"/>
        <w:rPr>
          <w:i/>
        </w:rPr>
      </w:pPr>
      <w:r w:rsidRPr="00435F90">
        <w:rPr>
          <w:i/>
        </w:rPr>
        <w:t xml:space="preserve">Kontakt: </w:t>
      </w:r>
      <w:hyperlink r:id="rId11" w:history="1">
        <w:r w:rsidRPr="00435F90">
          <w:rPr>
            <w:rStyle w:val="Hypertextovodkaz"/>
            <w:i/>
          </w:rPr>
          <w:t>dupal@regio.cz</w:t>
        </w:r>
      </w:hyperlink>
      <w:r w:rsidRPr="00435F90">
        <w:rPr>
          <w:i/>
        </w:rPr>
        <w:t xml:space="preserve">; 602561856; </w:t>
      </w:r>
      <w:hyperlink r:id="rId12" w:history="1">
        <w:r w:rsidRPr="00435F90">
          <w:rPr>
            <w:rStyle w:val="Hypertextovodkaz"/>
            <w:i/>
          </w:rPr>
          <w:t>www.konzument.cz</w:t>
        </w:r>
      </w:hyperlink>
    </w:p>
    <w:p w:rsidR="005836B1" w:rsidRPr="00435F90" w:rsidRDefault="005836B1" w:rsidP="001158E3">
      <w:pPr>
        <w:tabs>
          <w:tab w:val="num" w:pos="720"/>
          <w:tab w:val="num" w:pos="993"/>
        </w:tabs>
        <w:spacing w:after="120"/>
        <w:jc w:val="both"/>
      </w:pPr>
      <w:r w:rsidRPr="00435F90">
        <w:t>Partneři: Profesní komora SOTKVO, Kabinet pro standardizaci, o.p.s.</w:t>
      </w:r>
    </w:p>
    <w:p w:rsidR="0068421C" w:rsidRPr="00A11DFB" w:rsidRDefault="0068421C" w:rsidP="001158E3">
      <w:pPr>
        <w:pStyle w:val="Normlnweb"/>
        <w:spacing w:before="0" w:beforeAutospacing="0" w:after="120" w:afterAutospacing="0"/>
        <w:jc w:val="both"/>
        <w:rPr>
          <w:sz w:val="20"/>
        </w:rPr>
      </w:pPr>
      <w:r w:rsidRPr="00A11DFB">
        <w:rPr>
          <w:b/>
          <w:sz w:val="20"/>
        </w:rPr>
        <w:t>Sdružení českých spotřebitelů, z.ú. (SČS)</w:t>
      </w:r>
      <w:r w:rsidRPr="00A11DFB">
        <w:rPr>
          <w:sz w:val="20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:rsidR="0068421C" w:rsidRPr="00A11DFB" w:rsidRDefault="0068421C" w:rsidP="001158E3">
      <w:pPr>
        <w:spacing w:after="120"/>
        <w:jc w:val="both"/>
        <w:rPr>
          <w:sz w:val="20"/>
        </w:rPr>
      </w:pPr>
      <w:r w:rsidRPr="00A11DFB">
        <w:rPr>
          <w:sz w:val="20"/>
        </w:rPr>
        <w:t xml:space="preserve">Pod Altánem 99/103; 100 00  Praha 10 – Strašnice; +420 261263574, </w:t>
      </w:r>
      <w:hyperlink r:id="rId13" w:history="1">
        <w:r w:rsidRPr="00A11DFB">
          <w:rPr>
            <w:sz w:val="20"/>
          </w:rPr>
          <w:t>spotrebitel@regio.cz</w:t>
        </w:r>
      </w:hyperlink>
      <w:r w:rsidRPr="00A11DFB">
        <w:rPr>
          <w:sz w:val="20"/>
        </w:rPr>
        <w:t xml:space="preserve">; </w:t>
      </w:r>
      <w:hyperlink r:id="rId14" w:history="1">
        <w:r w:rsidRPr="00A11DFB">
          <w:rPr>
            <w:sz w:val="20"/>
          </w:rPr>
          <w:t>www.konzument.cz</w:t>
        </w:r>
      </w:hyperlink>
    </w:p>
    <w:p w:rsidR="004176BF" w:rsidRPr="00435F90" w:rsidRDefault="004176BF" w:rsidP="001158E3">
      <w:pPr>
        <w:spacing w:after="120"/>
        <w:jc w:val="both"/>
      </w:pPr>
    </w:p>
    <w:sectPr w:rsidR="004176BF" w:rsidRPr="00435F90" w:rsidSect="00B363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83" w:rsidRDefault="00FA7E83">
      <w:r>
        <w:separator/>
      </w:r>
    </w:p>
  </w:endnote>
  <w:endnote w:type="continuationSeparator" w:id="0">
    <w:p w:rsidR="00FA7E83" w:rsidRDefault="00FA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577130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7C1DD0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83" w:rsidRDefault="00FA7E83">
      <w:r>
        <w:separator/>
      </w:r>
    </w:p>
  </w:footnote>
  <w:footnote w:type="continuationSeparator" w:id="0">
    <w:p w:rsidR="00FA7E83" w:rsidRDefault="00FA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FA7E83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 wp14:anchorId="7D5C43FB" wp14:editId="57A8F43C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EB" w:rsidRDefault="003049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26577"/>
    <w:rsid w:val="00086BAA"/>
    <w:rsid w:val="000A144F"/>
    <w:rsid w:val="000C3A95"/>
    <w:rsid w:val="000F054E"/>
    <w:rsid w:val="001158E3"/>
    <w:rsid w:val="00135513"/>
    <w:rsid w:val="00166A48"/>
    <w:rsid w:val="0018143B"/>
    <w:rsid w:val="001F716D"/>
    <w:rsid w:val="001F79A2"/>
    <w:rsid w:val="0020102B"/>
    <w:rsid w:val="00206C29"/>
    <w:rsid w:val="00262E00"/>
    <w:rsid w:val="002B3C2C"/>
    <w:rsid w:val="002B56CD"/>
    <w:rsid w:val="002C79C7"/>
    <w:rsid w:val="002F0906"/>
    <w:rsid w:val="003049EB"/>
    <w:rsid w:val="00375D17"/>
    <w:rsid w:val="003C11D0"/>
    <w:rsid w:val="003D074B"/>
    <w:rsid w:val="004176BF"/>
    <w:rsid w:val="004356A3"/>
    <w:rsid w:val="00435F90"/>
    <w:rsid w:val="0046589A"/>
    <w:rsid w:val="00470793"/>
    <w:rsid w:val="00490E7B"/>
    <w:rsid w:val="004A361F"/>
    <w:rsid w:val="004B75E0"/>
    <w:rsid w:val="004D59FA"/>
    <w:rsid w:val="004E4964"/>
    <w:rsid w:val="0051083E"/>
    <w:rsid w:val="00510BD5"/>
    <w:rsid w:val="00546EE7"/>
    <w:rsid w:val="00577130"/>
    <w:rsid w:val="005836B1"/>
    <w:rsid w:val="005C4D59"/>
    <w:rsid w:val="005D70E3"/>
    <w:rsid w:val="005E33AC"/>
    <w:rsid w:val="00606953"/>
    <w:rsid w:val="00631430"/>
    <w:rsid w:val="00651E73"/>
    <w:rsid w:val="00652B75"/>
    <w:rsid w:val="0068421C"/>
    <w:rsid w:val="006D7004"/>
    <w:rsid w:val="006F6917"/>
    <w:rsid w:val="0070201E"/>
    <w:rsid w:val="00707CE2"/>
    <w:rsid w:val="007256ED"/>
    <w:rsid w:val="00751736"/>
    <w:rsid w:val="0076586B"/>
    <w:rsid w:val="007B4D8D"/>
    <w:rsid w:val="007C0E24"/>
    <w:rsid w:val="007C1DD0"/>
    <w:rsid w:val="007C356C"/>
    <w:rsid w:val="007D0D51"/>
    <w:rsid w:val="00813104"/>
    <w:rsid w:val="00814835"/>
    <w:rsid w:val="00822518"/>
    <w:rsid w:val="00846746"/>
    <w:rsid w:val="00850699"/>
    <w:rsid w:val="00873A0E"/>
    <w:rsid w:val="00874A5D"/>
    <w:rsid w:val="00891878"/>
    <w:rsid w:val="008A507D"/>
    <w:rsid w:val="008B194A"/>
    <w:rsid w:val="008B6151"/>
    <w:rsid w:val="00916AD3"/>
    <w:rsid w:val="00917CDB"/>
    <w:rsid w:val="00947FE7"/>
    <w:rsid w:val="00985A81"/>
    <w:rsid w:val="00A025D1"/>
    <w:rsid w:val="00A04596"/>
    <w:rsid w:val="00A11DFB"/>
    <w:rsid w:val="00A36BBB"/>
    <w:rsid w:val="00A62800"/>
    <w:rsid w:val="00A66E25"/>
    <w:rsid w:val="00AA3F27"/>
    <w:rsid w:val="00AE2781"/>
    <w:rsid w:val="00AE5DB9"/>
    <w:rsid w:val="00B05A26"/>
    <w:rsid w:val="00B36373"/>
    <w:rsid w:val="00B51FD5"/>
    <w:rsid w:val="00B71E61"/>
    <w:rsid w:val="00C16D9B"/>
    <w:rsid w:val="00C2672A"/>
    <w:rsid w:val="00C57E4B"/>
    <w:rsid w:val="00C60816"/>
    <w:rsid w:val="00C81BB9"/>
    <w:rsid w:val="00CA3922"/>
    <w:rsid w:val="00CB1A8E"/>
    <w:rsid w:val="00CC5F08"/>
    <w:rsid w:val="00CD267F"/>
    <w:rsid w:val="00D62193"/>
    <w:rsid w:val="00D70DF4"/>
    <w:rsid w:val="00DD1642"/>
    <w:rsid w:val="00DD75D6"/>
    <w:rsid w:val="00E24434"/>
    <w:rsid w:val="00EA1F7B"/>
    <w:rsid w:val="00F7137C"/>
    <w:rsid w:val="00F9417C"/>
    <w:rsid w:val="00FA7E83"/>
    <w:rsid w:val="00FB3EC4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33FFE"/>
  <w15:docId w15:val="{B6396A5C-F614-4EF6-999D-8D6DB376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customStyle="1" w:styleId="Normln0">
    <w:name w:val="Normální~"/>
    <w:basedOn w:val="Normln"/>
    <w:rsid w:val="00C60816"/>
    <w:pPr>
      <w:widowControl w:val="0"/>
      <w:spacing w:line="288" w:lineRule="auto"/>
    </w:pPr>
    <w:rPr>
      <w:szCs w:val="20"/>
    </w:rPr>
  </w:style>
  <w:style w:type="character" w:styleId="Hypertextovodkaz">
    <w:name w:val="Hyperlink"/>
    <w:rsid w:val="00C6081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60816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0A144F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B05A2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erenehriste.cz" TargetMode="External"/><Relationship Id="rId13" Type="http://schemas.openxmlformats.org/officeDocument/2006/relationships/hyperlink" Target="mailto:dupal@regio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konzument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pal@regio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overenehriste.cz/overena-hriste/seznam-overenych-hrist.php" TargetMode="External"/><Relationship Id="rId14" Type="http://schemas.openxmlformats.org/officeDocument/2006/relationships/hyperlink" Target="http://www.konzument.cz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4371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4</cp:revision>
  <cp:lastPrinted>2016-03-14T08:49:00Z</cp:lastPrinted>
  <dcterms:created xsi:type="dcterms:W3CDTF">2016-05-04T09:03:00Z</dcterms:created>
  <dcterms:modified xsi:type="dcterms:W3CDTF">2016-05-04T10:35:00Z</dcterms:modified>
</cp:coreProperties>
</file>