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28" w:rsidRDefault="00304E28" w:rsidP="00304E28">
      <w:pPr>
        <w:spacing w:after="120"/>
        <w:ind w:right="-426"/>
        <w:jc w:val="center"/>
        <w:rPr>
          <w:rFonts w:ascii="Verdana" w:hAnsi="Verdana"/>
          <w:b/>
        </w:rPr>
      </w:pPr>
      <w:r>
        <w:rPr>
          <w:rFonts w:ascii="Verdana" w:hAnsi="Verdana"/>
          <w:b/>
        </w:rPr>
        <w:t>TISKOVÁ ZPRÁVA</w:t>
      </w:r>
    </w:p>
    <w:p w:rsidR="00304E28" w:rsidRDefault="00304E28" w:rsidP="00304E28">
      <w:pPr>
        <w:spacing w:after="120"/>
        <w:ind w:right="-426"/>
        <w:jc w:val="center"/>
        <w:rPr>
          <w:rFonts w:ascii="Verdana" w:hAnsi="Verdana"/>
          <w:b/>
        </w:rPr>
      </w:pPr>
      <w:r>
        <w:rPr>
          <w:rFonts w:ascii="Verdana" w:hAnsi="Verdana"/>
          <w:b/>
        </w:rPr>
        <w:t>Sdružení českých spotřebitelů</w:t>
      </w:r>
    </w:p>
    <w:p w:rsidR="00304E28" w:rsidRDefault="00304E28" w:rsidP="00304E28">
      <w:pPr>
        <w:spacing w:after="120"/>
        <w:ind w:left="360" w:right="-426"/>
        <w:jc w:val="center"/>
        <w:rPr>
          <w:rFonts w:ascii="Verdana" w:hAnsi="Verdana"/>
          <w:b/>
          <w:sz w:val="28"/>
          <w:szCs w:val="28"/>
        </w:rPr>
      </w:pPr>
      <w:r>
        <w:rPr>
          <w:rFonts w:ascii="Verdana" w:hAnsi="Verdana"/>
          <w:b/>
          <w:sz w:val="28"/>
          <w:szCs w:val="28"/>
        </w:rPr>
        <w:t>www.seniorombudsman.cz</w:t>
      </w:r>
    </w:p>
    <w:p w:rsidR="00304E28" w:rsidRDefault="00304E28" w:rsidP="00304E28">
      <w:pPr>
        <w:spacing w:after="120" w:line="288" w:lineRule="auto"/>
        <w:ind w:right="-426" w:firstLine="360"/>
        <w:jc w:val="both"/>
        <w:rPr>
          <w:rFonts w:ascii="Verdana" w:hAnsi="Verdana" w:cs="Arial"/>
          <w:b/>
          <w:sz w:val="20"/>
          <w:szCs w:val="20"/>
        </w:rPr>
      </w:pPr>
      <w:r>
        <w:rPr>
          <w:rFonts w:ascii="Verdana" w:hAnsi="Verdana" w:cs="Arial"/>
          <w:b/>
          <w:sz w:val="20"/>
          <w:szCs w:val="20"/>
        </w:rPr>
        <w:t xml:space="preserve">Praha, </w:t>
      </w:r>
      <w:r w:rsidRPr="0002577C">
        <w:rPr>
          <w:rFonts w:ascii="Verdana" w:hAnsi="Verdana" w:cs="Arial"/>
          <w:b/>
          <w:sz w:val="20"/>
          <w:szCs w:val="20"/>
        </w:rPr>
        <w:t>1</w:t>
      </w:r>
      <w:r w:rsidR="0002577C" w:rsidRPr="0002577C">
        <w:rPr>
          <w:rFonts w:ascii="Verdana" w:hAnsi="Verdana" w:cs="Arial"/>
          <w:b/>
          <w:sz w:val="20"/>
          <w:szCs w:val="20"/>
        </w:rPr>
        <w:t>6</w:t>
      </w:r>
      <w:r w:rsidRPr="0002577C">
        <w:rPr>
          <w:rFonts w:ascii="Verdana" w:hAnsi="Verdana" w:cs="Arial"/>
          <w:b/>
          <w:sz w:val="20"/>
          <w:szCs w:val="20"/>
        </w:rPr>
        <w:t>. 12. 2015.</w:t>
      </w:r>
      <w:r>
        <w:rPr>
          <w:rFonts w:ascii="Verdana" w:hAnsi="Verdana" w:cs="Arial"/>
          <w:b/>
          <w:sz w:val="20"/>
          <w:szCs w:val="20"/>
        </w:rPr>
        <w:t xml:space="preserve"> Sdružení českých spotřebitelů</w:t>
      </w:r>
      <w:r>
        <w:rPr>
          <w:rFonts w:ascii="Verdana" w:hAnsi="Verdana" w:cs="Arial"/>
          <w:sz w:val="20"/>
          <w:szCs w:val="20"/>
        </w:rPr>
        <w:t xml:space="preserve"> (SČS) se ve svých aktivitách zaměřuje na ty skupiny spotřebitelů, které jsou obzvlášť zranitelné v některých situacích na trhu. Mohou to být děti, osoby se zdravotním postižením, ale ve velké míře jsou to senioři. Na seniory se proto naše sdružení zaměřuje specificky ve více aktivitách. Je to například víceletý projekt „Finanční vzdělávání pro seniory v regionech (celoroční osvětová kampaň na téma podvodů na seniorech při nabídkových akcích a podepisování smluv)“, realizovaný za podpory MPSV od roku 2013.</w:t>
      </w:r>
      <w:r>
        <w:rPr>
          <w:rFonts w:ascii="Verdana" w:hAnsi="Verdana" w:cs="Arial"/>
          <w:b/>
          <w:sz w:val="20"/>
          <w:szCs w:val="20"/>
        </w:rPr>
        <w:t xml:space="preserve"> </w:t>
      </w:r>
    </w:p>
    <w:p w:rsidR="00304E28" w:rsidRDefault="00304E28" w:rsidP="00304E28">
      <w:pPr>
        <w:spacing w:after="120" w:line="288" w:lineRule="auto"/>
        <w:ind w:right="-426" w:firstLine="360"/>
        <w:jc w:val="both"/>
        <w:rPr>
          <w:rFonts w:ascii="Verdana" w:hAnsi="Verdana" w:cs="Arial"/>
          <w:sz w:val="20"/>
          <w:szCs w:val="20"/>
        </w:rPr>
      </w:pPr>
      <w:r>
        <w:rPr>
          <w:rFonts w:ascii="Verdana" w:hAnsi="Verdana" w:cs="Arial"/>
          <w:sz w:val="20"/>
          <w:szCs w:val="20"/>
        </w:rPr>
        <w:t>Za dobu realizace přednášek pro seniory se ukazuje – a sam</w:t>
      </w:r>
      <w:bookmarkStart w:id="0" w:name="_GoBack"/>
      <w:bookmarkEnd w:id="0"/>
      <w:r>
        <w:rPr>
          <w:rFonts w:ascii="Verdana" w:hAnsi="Verdana" w:cs="Arial"/>
          <w:sz w:val="20"/>
          <w:szCs w:val="20"/>
        </w:rPr>
        <w:t xml:space="preserve">i senioři po tomto volají, že je třeba informování seniorů šířit i dalšími prostředky a nalézt pro tyto informace jednotnou platformu. Naplnění tohoto očekávání spatřujeme v realizaci projektu Senior ombudsman, který ve svém výsledku zlepší obranyschopnost a vymahatelnost ústavních i dalších zákonných práv seniorů ve vztahu k neseriózním obchodníkům, podnikatelským subjektům, exekutorům, nebankovním společnostem apod. Cílem projektu je tak napomoci seniorům k dosažení jejich práv v souladu s Ústavou ČR a Listinou základních práv a svobod, zejména ve vztahu k ochraně zdraví, nedotknutelnosti vlastní osoby a  soukromí a k ochraně před neoprávněným zasahováním do soukromého a rodinného života. I když v naší republice máme řadu různých ochránců spotřebitelských práv, žádný z nich se nespecializuje na specifickou a zranitelnou skupinu seniorů. </w:t>
      </w:r>
    </w:p>
    <w:p w:rsidR="00304E28" w:rsidRDefault="00304E28" w:rsidP="00304E28">
      <w:pPr>
        <w:spacing w:after="120" w:line="288" w:lineRule="auto"/>
        <w:ind w:right="-426" w:firstLine="360"/>
        <w:jc w:val="both"/>
        <w:rPr>
          <w:rFonts w:ascii="Verdana" w:hAnsi="Verdana" w:cs="Arial"/>
          <w:sz w:val="20"/>
          <w:szCs w:val="20"/>
        </w:rPr>
      </w:pPr>
      <w:r>
        <w:rPr>
          <w:rFonts w:ascii="Verdana" w:hAnsi="Verdana" w:cs="Arial"/>
          <w:sz w:val="20"/>
          <w:szCs w:val="20"/>
        </w:rPr>
        <w:t xml:space="preserve">V rámci projektu Senioři mají svá ústavní práva; pomůže - SENIOR OMBUDSMAN! </w:t>
      </w:r>
      <w:proofErr w:type="gramStart"/>
      <w:r>
        <w:rPr>
          <w:rFonts w:ascii="Verdana" w:hAnsi="Verdana" w:cs="Arial"/>
          <w:sz w:val="20"/>
          <w:szCs w:val="20"/>
        </w:rPr>
        <w:t>jsme</w:t>
      </w:r>
      <w:proofErr w:type="gramEnd"/>
      <w:r>
        <w:rPr>
          <w:rFonts w:ascii="Verdana" w:hAnsi="Verdana" w:cs="Arial"/>
          <w:sz w:val="20"/>
          <w:szCs w:val="20"/>
        </w:rPr>
        <w:t xml:space="preserve"> vybudovali nový webový portál </w:t>
      </w:r>
      <w:hyperlink r:id="rId7" w:history="1">
        <w:r>
          <w:rPr>
            <w:rStyle w:val="Hypertextovodkaz"/>
            <w:rFonts w:ascii="Verdana" w:hAnsi="Verdana" w:cs="Arial"/>
            <w:sz w:val="20"/>
            <w:szCs w:val="20"/>
          </w:rPr>
          <w:t>www.seniorombudsman.cz</w:t>
        </w:r>
      </w:hyperlink>
      <w:r>
        <w:rPr>
          <w:rFonts w:ascii="Verdana" w:hAnsi="Verdana" w:cs="Arial"/>
          <w:sz w:val="20"/>
          <w:szCs w:val="20"/>
        </w:rPr>
        <w:t xml:space="preserve">. Senioři zde naleznou řadu informací, týkajících se jejich lidských a ekonomických práv, odkazy na relevantní publikace (např. z edice Průvodce pro spotřebitele - seniory),  jako i na další materiály týkajících se dané problematiky, odkazy na semináře finančního vzdělávání pro seniory, poradenské organizace, kam se mohou obrátit s řešením problémů a další informace. Je třeba připomenout, že inspirací pro vytvoření těchto stránek byl projekt Senior Ombudsman našich slovenských partnerů </w:t>
      </w:r>
      <w:proofErr w:type="spellStart"/>
      <w:r>
        <w:rPr>
          <w:rFonts w:ascii="Verdana" w:hAnsi="Verdana" w:cs="Arial"/>
          <w:sz w:val="20"/>
          <w:szCs w:val="20"/>
        </w:rPr>
        <w:t>Spoločnosťi</w:t>
      </w:r>
      <w:proofErr w:type="spellEnd"/>
      <w:r>
        <w:rPr>
          <w:rFonts w:ascii="Verdana" w:hAnsi="Verdana" w:cs="Arial"/>
          <w:sz w:val="20"/>
          <w:szCs w:val="20"/>
        </w:rPr>
        <w:t xml:space="preserve"> ochrany </w:t>
      </w:r>
      <w:proofErr w:type="spellStart"/>
      <w:r>
        <w:rPr>
          <w:rFonts w:ascii="Verdana" w:hAnsi="Verdana" w:cs="Arial"/>
          <w:sz w:val="20"/>
          <w:szCs w:val="20"/>
        </w:rPr>
        <w:t>spotrebiteľov</w:t>
      </w:r>
      <w:proofErr w:type="spellEnd"/>
      <w:r>
        <w:rPr>
          <w:rFonts w:ascii="Verdana" w:hAnsi="Verdana" w:cs="Arial"/>
          <w:sz w:val="20"/>
          <w:szCs w:val="20"/>
        </w:rPr>
        <w:t xml:space="preserve"> </w:t>
      </w:r>
      <w:proofErr w:type="gramStart"/>
      <w:r>
        <w:rPr>
          <w:rFonts w:ascii="Verdana" w:hAnsi="Verdana" w:cs="Arial"/>
          <w:sz w:val="20"/>
          <w:szCs w:val="20"/>
        </w:rPr>
        <w:t>S.O.</w:t>
      </w:r>
      <w:proofErr w:type="gramEnd"/>
      <w:r>
        <w:rPr>
          <w:rFonts w:ascii="Verdana" w:hAnsi="Verdana" w:cs="Arial"/>
          <w:sz w:val="20"/>
          <w:szCs w:val="20"/>
        </w:rPr>
        <w:t xml:space="preserve">S. Poprad. </w:t>
      </w:r>
    </w:p>
    <w:p w:rsidR="00304E28" w:rsidRDefault="00304E28" w:rsidP="00304E28">
      <w:pPr>
        <w:spacing w:after="120" w:line="288" w:lineRule="auto"/>
        <w:ind w:right="-426"/>
        <w:jc w:val="both"/>
        <w:rPr>
          <w:rFonts w:ascii="Verdana" w:hAnsi="Verdana" w:cs="Arial"/>
          <w:sz w:val="20"/>
          <w:szCs w:val="20"/>
        </w:rPr>
      </w:pPr>
      <w:r>
        <w:rPr>
          <w:rFonts w:ascii="Verdana" w:hAnsi="Verdana" w:cs="Arial"/>
          <w:sz w:val="20"/>
          <w:szCs w:val="20"/>
        </w:rPr>
        <w:t xml:space="preserve">Další informace poskytne: </w:t>
      </w:r>
    </w:p>
    <w:p w:rsidR="00304E28" w:rsidRDefault="00304E28" w:rsidP="00304E28">
      <w:pPr>
        <w:pStyle w:val="Normlnweb"/>
        <w:spacing w:before="0" w:beforeAutospacing="0" w:after="0" w:afterAutospacing="0"/>
        <w:ind w:right="-426"/>
        <w:rPr>
          <w:rFonts w:ascii="Verdana" w:hAnsi="Verdana"/>
          <w:sz w:val="18"/>
          <w:szCs w:val="20"/>
        </w:rPr>
      </w:pPr>
      <w:r>
        <w:rPr>
          <w:rFonts w:ascii="Verdana" w:hAnsi="Verdana"/>
          <w:sz w:val="18"/>
          <w:szCs w:val="20"/>
        </w:rPr>
        <w:t xml:space="preserve">Lenka Bergmannová, tel.: 261 263 574, e-mail: bergmannova@regio.cz </w:t>
      </w:r>
    </w:p>
    <w:p w:rsidR="00304E28" w:rsidRDefault="00304E28" w:rsidP="00304E28">
      <w:pPr>
        <w:pStyle w:val="Normlnweb"/>
        <w:spacing w:before="0" w:beforeAutospacing="0" w:after="0" w:afterAutospacing="0"/>
        <w:ind w:right="-425"/>
        <w:rPr>
          <w:rFonts w:ascii="Verdana" w:hAnsi="Verdana"/>
          <w:sz w:val="18"/>
          <w:szCs w:val="20"/>
        </w:rPr>
      </w:pPr>
      <w:r>
        <w:rPr>
          <w:rFonts w:ascii="Verdana" w:hAnsi="Verdana"/>
          <w:sz w:val="18"/>
          <w:szCs w:val="20"/>
        </w:rPr>
        <w:t>Ing. Libor Dupal, ředitel SČS, mobil: 602 561 856, e-mail: dupal@regio.cz</w:t>
      </w:r>
    </w:p>
    <w:p w:rsidR="00304E28" w:rsidRDefault="00304E28" w:rsidP="00304E28">
      <w:pPr>
        <w:pStyle w:val="Normlnweb"/>
        <w:spacing w:before="0" w:beforeAutospacing="0" w:after="0" w:afterAutospacing="0"/>
        <w:ind w:right="-426"/>
        <w:rPr>
          <w:rFonts w:ascii="Verdana" w:hAnsi="Verdana"/>
          <w:sz w:val="20"/>
          <w:szCs w:val="20"/>
        </w:rPr>
      </w:pPr>
    </w:p>
    <w:p w:rsidR="00304E28" w:rsidRDefault="00304E28" w:rsidP="00304E28">
      <w:pPr>
        <w:pStyle w:val="Normlnweb"/>
        <w:spacing w:before="0" w:beforeAutospacing="0" w:after="120" w:afterAutospacing="0"/>
        <w:ind w:right="-425"/>
        <w:rPr>
          <w:sz w:val="16"/>
          <w:szCs w:val="20"/>
        </w:rPr>
      </w:pPr>
      <w:r>
        <w:rPr>
          <w:b/>
          <w:sz w:val="16"/>
          <w:szCs w:val="20"/>
        </w:rPr>
        <w:t>Sdružení českých spotřebitelů (SČS)</w:t>
      </w:r>
      <w:r>
        <w:rPr>
          <w:sz w:val="16"/>
          <w:szCs w:val="20"/>
        </w:rPr>
        <w:t xml:space="preserve"> je občanským sdružením, které si klade za cíl hájit oprávněné zájmy a práva spotřebitelů na vnitřním trhu EU a ČR, přičemž zdůrazňuje preventivní stránku ochrany zájmů spotřebitelů: „Jen poučený spotřebitel se dokáže účinně hájit“. SČS působí v řadě oblastí, pokrývají odbornosti ve vztahu k bezpečnosti výrobků, standardizaci, finančních služeb aj. SČS výrazně zaměřuje své aktivity na oblasti, které se dotýkají nejvíce zranitelných spotřebitelů – seniorů, děti a mládeže, osob se zdravotním postižením. </w:t>
      </w:r>
      <w:r>
        <w:rPr>
          <w:bCs/>
          <w:sz w:val="16"/>
          <w:szCs w:val="20"/>
        </w:rPr>
        <w:t xml:space="preserve">SČS poskytuje své služby </w:t>
      </w:r>
      <w:r>
        <w:rPr>
          <w:sz w:val="16"/>
          <w:szCs w:val="20"/>
        </w:rPr>
        <w:t>prostřednictvím telefonického, osobního či elektronického poradenství, vydáváním osvětových a informačních publikací a materiálů, pořádání seminářů a přednášek ad.</w:t>
      </w:r>
    </w:p>
    <w:p w:rsidR="00304E28" w:rsidRDefault="00304E28" w:rsidP="00304E28">
      <w:pPr>
        <w:pStyle w:val="Normlnweb"/>
        <w:spacing w:before="0" w:beforeAutospacing="0" w:after="120" w:afterAutospacing="0"/>
        <w:ind w:right="-425"/>
        <w:rPr>
          <w:sz w:val="16"/>
          <w:szCs w:val="20"/>
        </w:rPr>
      </w:pPr>
      <w:r>
        <w:rPr>
          <w:sz w:val="16"/>
          <w:szCs w:val="20"/>
        </w:rPr>
        <w:t xml:space="preserve">SČS, Pod Altánem 99/103, Praha 10, 100 00, +420 261263574, </w:t>
      </w:r>
      <w:hyperlink r:id="rId8" w:history="1">
        <w:r>
          <w:rPr>
            <w:rStyle w:val="Hypertextovodkaz"/>
            <w:sz w:val="16"/>
            <w:szCs w:val="20"/>
          </w:rPr>
          <w:t>spotrebitel@regio.cz</w:t>
        </w:r>
      </w:hyperlink>
      <w:r>
        <w:rPr>
          <w:sz w:val="16"/>
          <w:szCs w:val="20"/>
        </w:rPr>
        <w:t xml:space="preserve">; </w:t>
      </w:r>
      <w:hyperlink r:id="rId9" w:history="1">
        <w:r>
          <w:rPr>
            <w:rStyle w:val="Hypertextovodkaz"/>
            <w:sz w:val="16"/>
            <w:szCs w:val="20"/>
          </w:rPr>
          <w:t>www.konzument.cz</w:t>
        </w:r>
      </w:hyperlink>
    </w:p>
    <w:p w:rsidR="00A654BB" w:rsidRDefault="00A654BB" w:rsidP="00A654BB"/>
    <w:p w:rsidR="00A654BB" w:rsidRDefault="00A654BB" w:rsidP="00A654BB"/>
    <w:sectPr w:rsidR="00A654BB" w:rsidSect="00B36373">
      <w:headerReference w:type="even" r:id="rId10"/>
      <w:headerReference w:type="default" r:id="rId11"/>
      <w:footerReference w:type="even" r:id="rId12"/>
      <w:footerReference w:type="default" r:id="rId13"/>
      <w:headerReference w:type="first" r:id="rId14"/>
      <w:footerReference w:type="first" r:id="rId15"/>
      <w:pgSz w:w="11906" w:h="16838" w:code="9"/>
      <w:pgMar w:top="2373" w:right="1134" w:bottom="179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2A" w:rsidRDefault="0044642A">
      <w:r>
        <w:separator/>
      </w:r>
    </w:p>
  </w:endnote>
  <w:endnote w:type="continuationSeparator" w:id="0">
    <w:p w:rsidR="0044642A" w:rsidRDefault="0044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altName w:val="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B" w:rsidRDefault="003049E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32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34"/>
    </w:tblGrid>
    <w:tr w:rsidR="00B36373" w:rsidRPr="00B36373" w:rsidTr="005A265C">
      <w:tc>
        <w:tcPr>
          <w:tcW w:w="8188" w:type="dxa"/>
        </w:tcPr>
        <w:p w:rsidR="00B36373" w:rsidRPr="00B36373" w:rsidRDefault="00B36373" w:rsidP="005A265C">
          <w:pPr>
            <w:rPr>
              <w:bCs/>
              <w:color w:val="7F7F7F" w:themeColor="text1" w:themeTint="80"/>
              <w:spacing w:val="10"/>
              <w:sz w:val="18"/>
              <w:szCs w:val="16"/>
            </w:rPr>
          </w:pPr>
          <w:r w:rsidRPr="00B36373">
            <w:rPr>
              <w:bCs/>
              <w:color w:val="7F7F7F" w:themeColor="text1" w:themeTint="80"/>
              <w:spacing w:val="10"/>
              <w:sz w:val="18"/>
              <w:szCs w:val="16"/>
            </w:rPr>
            <w:t xml:space="preserve">Sdružení českých </w:t>
          </w:r>
          <w:proofErr w:type="gramStart"/>
          <w:r w:rsidRPr="00B36373">
            <w:rPr>
              <w:bCs/>
              <w:color w:val="7F7F7F" w:themeColor="text1" w:themeTint="80"/>
              <w:spacing w:val="10"/>
              <w:sz w:val="18"/>
              <w:szCs w:val="16"/>
            </w:rPr>
            <w:t xml:space="preserve">spotřebitelů, </w:t>
          </w:r>
          <w:r w:rsidR="00490E7B">
            <w:rPr>
              <w:bCs/>
              <w:color w:val="7F7F7F" w:themeColor="text1" w:themeTint="80"/>
              <w:spacing w:val="10"/>
              <w:sz w:val="18"/>
              <w:szCs w:val="16"/>
            </w:rPr>
            <w:t xml:space="preserve">z. </w:t>
          </w:r>
          <w:proofErr w:type="spellStart"/>
          <w:r w:rsidR="00490E7B">
            <w:rPr>
              <w:bCs/>
              <w:color w:val="7F7F7F" w:themeColor="text1" w:themeTint="80"/>
              <w:spacing w:val="10"/>
              <w:sz w:val="18"/>
              <w:szCs w:val="16"/>
            </w:rPr>
            <w:t>ú</w:t>
          </w:r>
          <w:r w:rsidR="00B71E61">
            <w:rPr>
              <w:bCs/>
              <w:color w:val="7F7F7F" w:themeColor="text1" w:themeTint="80"/>
              <w:spacing w:val="10"/>
              <w:sz w:val="18"/>
              <w:szCs w:val="16"/>
            </w:rPr>
            <w:t>.</w:t>
          </w:r>
          <w:proofErr w:type="spellEnd"/>
          <w:r w:rsidR="00B71E61">
            <w:rPr>
              <w:bCs/>
              <w:color w:val="7F7F7F" w:themeColor="text1" w:themeTint="80"/>
              <w:spacing w:val="10"/>
              <w:sz w:val="18"/>
              <w:szCs w:val="16"/>
            </w:rPr>
            <w:t>, Pod</w:t>
          </w:r>
          <w:proofErr w:type="gramEnd"/>
          <w:r w:rsidR="00B71E61">
            <w:rPr>
              <w:bCs/>
              <w:color w:val="7F7F7F" w:themeColor="text1" w:themeTint="80"/>
              <w:spacing w:val="10"/>
              <w:sz w:val="18"/>
              <w:szCs w:val="16"/>
            </w:rPr>
            <w:t xml:space="preserve"> Altánem 99/103, 100 00</w:t>
          </w:r>
          <w:r w:rsidRPr="00B36373">
            <w:rPr>
              <w:bCs/>
              <w:color w:val="7F7F7F" w:themeColor="text1" w:themeTint="80"/>
              <w:spacing w:val="10"/>
              <w:sz w:val="18"/>
              <w:szCs w:val="16"/>
            </w:rPr>
            <w:t xml:space="preserve"> Praha 10</w:t>
          </w:r>
        </w:p>
        <w:p w:rsidR="00B36373" w:rsidRPr="00B36373" w:rsidRDefault="00D62193" w:rsidP="005A265C">
          <w:pPr>
            <w:rPr>
              <w:bCs/>
              <w:color w:val="7F7F7F" w:themeColor="text1" w:themeTint="80"/>
              <w:spacing w:val="10"/>
              <w:sz w:val="18"/>
              <w:szCs w:val="16"/>
            </w:rPr>
          </w:pPr>
          <w:r>
            <w:rPr>
              <w:bCs/>
              <w:color w:val="7F7F7F" w:themeColor="text1" w:themeTint="80"/>
              <w:spacing w:val="10"/>
              <w:sz w:val="18"/>
              <w:szCs w:val="16"/>
            </w:rPr>
            <w:t>DIČ: CZ00409871, IČ: 409871</w:t>
          </w:r>
          <w:r w:rsidR="00B36373" w:rsidRPr="00B36373">
            <w:rPr>
              <w:bCs/>
              <w:color w:val="7F7F7F" w:themeColor="text1" w:themeTint="80"/>
              <w:spacing w:val="10"/>
              <w:sz w:val="18"/>
              <w:szCs w:val="16"/>
            </w:rPr>
            <w:t xml:space="preserve">  </w:t>
          </w:r>
        </w:p>
        <w:p w:rsidR="00B36373" w:rsidRPr="00B36373" w:rsidRDefault="00B36373" w:rsidP="005A265C">
          <w:pPr>
            <w:pStyle w:val="Zpat"/>
            <w:rPr>
              <w:color w:val="7F7F7F" w:themeColor="text1" w:themeTint="80"/>
            </w:rPr>
          </w:pPr>
          <w:r w:rsidRPr="00B36373">
            <w:rPr>
              <w:bCs/>
              <w:color w:val="7F7F7F" w:themeColor="text1" w:themeTint="80"/>
              <w:spacing w:val="10"/>
              <w:sz w:val="18"/>
              <w:szCs w:val="16"/>
            </w:rPr>
            <w:t xml:space="preserve">Bankovní spojení: Česká spořitelna, a. s., č. </w:t>
          </w:r>
          <w:proofErr w:type="spellStart"/>
          <w:r w:rsidRPr="00B36373">
            <w:rPr>
              <w:bCs/>
              <w:color w:val="7F7F7F" w:themeColor="text1" w:themeTint="80"/>
              <w:spacing w:val="10"/>
              <w:sz w:val="18"/>
              <w:szCs w:val="16"/>
            </w:rPr>
            <w:t>ú.</w:t>
          </w:r>
          <w:proofErr w:type="spellEnd"/>
          <w:r w:rsidRPr="00B36373">
            <w:rPr>
              <w:bCs/>
              <w:color w:val="7F7F7F" w:themeColor="text1" w:themeTint="80"/>
              <w:spacing w:val="10"/>
              <w:sz w:val="18"/>
              <w:szCs w:val="16"/>
            </w:rPr>
            <w:t xml:space="preserve"> 96282339/0800</w:t>
          </w:r>
        </w:p>
      </w:tc>
      <w:tc>
        <w:tcPr>
          <w:tcW w:w="1134" w:type="dxa"/>
        </w:tcPr>
        <w:p w:rsidR="00B36373" w:rsidRPr="00B36373" w:rsidRDefault="007621DE" w:rsidP="005A265C">
          <w:pPr>
            <w:pStyle w:val="Zpat"/>
            <w:jc w:val="right"/>
            <w:rPr>
              <w:color w:val="7F7F7F" w:themeColor="text1" w:themeTint="80"/>
            </w:rPr>
          </w:pPr>
          <w:r w:rsidRPr="00B36373">
            <w:rPr>
              <w:color w:val="7F7F7F" w:themeColor="text1" w:themeTint="80"/>
            </w:rPr>
            <w:fldChar w:fldCharType="begin"/>
          </w:r>
          <w:r w:rsidR="00B36373" w:rsidRPr="00B36373">
            <w:rPr>
              <w:color w:val="7F7F7F" w:themeColor="text1" w:themeTint="80"/>
            </w:rPr>
            <w:instrText>PAGE   \* MERGEFORMAT</w:instrText>
          </w:r>
          <w:r w:rsidRPr="00B36373">
            <w:rPr>
              <w:color w:val="7F7F7F" w:themeColor="text1" w:themeTint="80"/>
            </w:rPr>
            <w:fldChar w:fldCharType="separate"/>
          </w:r>
          <w:r w:rsidR="0002577C">
            <w:rPr>
              <w:noProof/>
              <w:color w:val="7F7F7F" w:themeColor="text1" w:themeTint="80"/>
            </w:rPr>
            <w:t>1</w:t>
          </w:r>
          <w:r w:rsidRPr="00B36373">
            <w:rPr>
              <w:color w:val="7F7F7F" w:themeColor="text1" w:themeTint="80"/>
            </w:rPr>
            <w:fldChar w:fldCharType="end"/>
          </w:r>
        </w:p>
      </w:tc>
    </w:tr>
  </w:tbl>
  <w:p w:rsidR="00B36373" w:rsidRPr="004A0A23" w:rsidRDefault="00B36373" w:rsidP="00B36373">
    <w:pPr>
      <w:pStyle w:val="Zpat"/>
      <w:rPr>
        <w:sz w:val="2"/>
      </w:rPr>
    </w:pPr>
  </w:p>
  <w:p w:rsidR="004E4964" w:rsidRPr="00B36373" w:rsidRDefault="004E4964">
    <w:pPr>
      <w:pStyle w:val="Zpat"/>
      <w:rPr>
        <w:sz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B" w:rsidRDefault="003049E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2A" w:rsidRDefault="0044642A">
      <w:r>
        <w:separator/>
      </w:r>
    </w:p>
  </w:footnote>
  <w:footnote w:type="continuationSeparator" w:id="0">
    <w:p w:rsidR="0044642A" w:rsidRDefault="004464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B" w:rsidRDefault="003049E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3686"/>
      <w:gridCol w:w="1417"/>
      <w:gridCol w:w="3969"/>
    </w:tblGrid>
    <w:tr w:rsidR="00B36373" w:rsidTr="005A265C">
      <w:trPr>
        <w:cantSplit/>
      </w:trPr>
      <w:tc>
        <w:tcPr>
          <w:tcW w:w="3686" w:type="dxa"/>
          <w:tcBorders>
            <w:bottom w:val="single" w:sz="2" w:space="0" w:color="auto"/>
          </w:tcBorders>
        </w:tcPr>
        <w:p w:rsidR="00B36373" w:rsidRPr="00A35C1E" w:rsidRDefault="00B36373"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Pod Altánem 99/103, 100 00 Praha 10</w:t>
          </w:r>
        </w:p>
        <w:p w:rsidR="00B36373" w:rsidRPr="00A35C1E" w:rsidRDefault="00B36373"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DIČ: CZ00409871, IČ: 409871</w:t>
          </w:r>
        </w:p>
        <w:p w:rsidR="00B36373" w:rsidRPr="00A35C1E" w:rsidRDefault="00B36373"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Tel.: +420 261 263 574</w:t>
          </w:r>
        </w:p>
        <w:p w:rsidR="00B36373" w:rsidRDefault="0044642A" w:rsidP="00B36373">
          <w:pPr>
            <w:spacing w:line="276" w:lineRule="auto"/>
            <w:rPr>
              <w:b/>
              <w:bCs/>
              <w:spacing w:val="10"/>
            </w:rPr>
          </w:pPr>
          <w:hyperlink r:id="rId1" w:history="1">
            <w:r w:rsidR="00B36373" w:rsidRPr="00A35C1E">
              <w:rPr>
                <w:b/>
                <w:color w:val="7F7F7F" w:themeColor="text1" w:themeTint="80"/>
                <w:spacing w:val="10"/>
                <w:sz w:val="20"/>
                <w:szCs w:val="22"/>
              </w:rPr>
              <w:t>spotrebitel@regio.cz</w:t>
            </w:r>
          </w:hyperlink>
        </w:p>
      </w:tc>
      <w:tc>
        <w:tcPr>
          <w:tcW w:w="1417" w:type="dxa"/>
          <w:tcBorders>
            <w:bottom w:val="single" w:sz="2" w:space="0" w:color="auto"/>
          </w:tcBorders>
        </w:tcPr>
        <w:p w:rsidR="00B36373" w:rsidRDefault="00B36373" w:rsidP="005A265C">
          <w:pPr>
            <w:rPr>
              <w:spacing w:val="10"/>
            </w:rPr>
          </w:pPr>
        </w:p>
      </w:tc>
      <w:tc>
        <w:tcPr>
          <w:tcW w:w="3969" w:type="dxa"/>
          <w:tcBorders>
            <w:bottom w:val="single" w:sz="2" w:space="0" w:color="auto"/>
          </w:tcBorders>
        </w:tcPr>
        <w:p w:rsidR="00B36373" w:rsidRPr="00A76945" w:rsidRDefault="003049EB" w:rsidP="00B36373">
          <w:pPr>
            <w:pStyle w:val="Zkladntext"/>
            <w:tabs>
              <w:tab w:val="left" w:pos="426"/>
              <w:tab w:val="left" w:pos="720"/>
              <w:tab w:val="left" w:pos="1985"/>
            </w:tabs>
            <w:spacing w:line="240" w:lineRule="auto"/>
            <w:jc w:val="right"/>
            <w:rPr>
              <w:spacing w:val="10"/>
            </w:rPr>
          </w:pPr>
          <w:r>
            <w:rPr>
              <w:noProof/>
              <w:color w:val="000000" w:themeColor="text1"/>
              <w:spacing w:val="10"/>
              <w:sz w:val="20"/>
              <w:szCs w:val="22"/>
            </w:rPr>
            <w:drawing>
              <wp:inline distT="0" distB="0" distL="0" distR="0">
                <wp:extent cx="1922723" cy="633046"/>
                <wp:effectExtent l="0" t="0" r="0" b="0"/>
                <wp:docPr id="1" name="Obrázek 1" descr="G:\_archive_ag_du_new_recon\_SCS\_Formul_Loga_etc\_Korekce 2014 -manual atd\SCS manual\office &amp; web\SCS_logotyp_hlavni\SCS_logotyp_hlavn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archive_ag_du_new_recon\_SCS\_Formul_Loga_etc\_Korekce 2014 -manual atd\SCS manual\office &amp; web\SCS_logotyp_hlavni\SCS_logotyp_hlavn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151" cy="633516"/>
                        </a:xfrm>
                        <a:prstGeom prst="rect">
                          <a:avLst/>
                        </a:prstGeom>
                        <a:noFill/>
                        <a:ln>
                          <a:noFill/>
                        </a:ln>
                      </pic:spPr>
                    </pic:pic>
                  </a:graphicData>
                </a:graphic>
              </wp:inline>
            </w:drawing>
          </w:r>
        </w:p>
      </w:tc>
    </w:tr>
  </w:tbl>
  <w:p w:rsidR="008B194A" w:rsidRPr="00B36373" w:rsidRDefault="008B194A" w:rsidP="00B36373">
    <w:pPr>
      <w:pStyle w:val="Zhlav"/>
      <w:rPr>
        <w:rFonts w:ascii="Arial" w:hAnsi="Arial" w:cs="Arial"/>
        <w:sz w:val="4"/>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B" w:rsidRDefault="003049E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E3CC1"/>
    <w:multiLevelType w:val="hybridMultilevel"/>
    <w:tmpl w:val="758ACB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5B05ECF"/>
    <w:multiLevelType w:val="hybridMultilevel"/>
    <w:tmpl w:val="5CDE0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04"/>
    <w:rsid w:val="0002577C"/>
    <w:rsid w:val="000C3A95"/>
    <w:rsid w:val="000E5E48"/>
    <w:rsid w:val="000F054E"/>
    <w:rsid w:val="0018143B"/>
    <w:rsid w:val="001B3E7C"/>
    <w:rsid w:val="001F79A2"/>
    <w:rsid w:val="00262E00"/>
    <w:rsid w:val="002F0906"/>
    <w:rsid w:val="003049EB"/>
    <w:rsid w:val="00304E28"/>
    <w:rsid w:val="00375D17"/>
    <w:rsid w:val="003D074B"/>
    <w:rsid w:val="0044642A"/>
    <w:rsid w:val="0046589A"/>
    <w:rsid w:val="00470793"/>
    <w:rsid w:val="00490E7B"/>
    <w:rsid w:val="004B75E0"/>
    <w:rsid w:val="004D59FA"/>
    <w:rsid w:val="004E4964"/>
    <w:rsid w:val="004E53C1"/>
    <w:rsid w:val="0051083E"/>
    <w:rsid w:val="0057274A"/>
    <w:rsid w:val="00577130"/>
    <w:rsid w:val="005C3CAE"/>
    <w:rsid w:val="005C4D59"/>
    <w:rsid w:val="005D70E3"/>
    <w:rsid w:val="00652B75"/>
    <w:rsid w:val="006D7004"/>
    <w:rsid w:val="0070201E"/>
    <w:rsid w:val="007256ED"/>
    <w:rsid w:val="007621DE"/>
    <w:rsid w:val="007C0E24"/>
    <w:rsid w:val="007D0D51"/>
    <w:rsid w:val="00813104"/>
    <w:rsid w:val="00822518"/>
    <w:rsid w:val="00850699"/>
    <w:rsid w:val="008B194A"/>
    <w:rsid w:val="008C45D4"/>
    <w:rsid w:val="00916AD3"/>
    <w:rsid w:val="00947FE7"/>
    <w:rsid w:val="00A04596"/>
    <w:rsid w:val="00A302A3"/>
    <w:rsid w:val="00A36BBB"/>
    <w:rsid w:val="00A62800"/>
    <w:rsid w:val="00A654BB"/>
    <w:rsid w:val="00AE2781"/>
    <w:rsid w:val="00AE5DB9"/>
    <w:rsid w:val="00B36373"/>
    <w:rsid w:val="00B51FD5"/>
    <w:rsid w:val="00B71E61"/>
    <w:rsid w:val="00C2672A"/>
    <w:rsid w:val="00C27ACE"/>
    <w:rsid w:val="00CC5F08"/>
    <w:rsid w:val="00D62193"/>
    <w:rsid w:val="00DD75D6"/>
    <w:rsid w:val="00E24434"/>
    <w:rsid w:val="00F9417C"/>
    <w:rsid w:val="00FC064E"/>
    <w:rsid w:val="00FF6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895DB"/>
  <w15:docId w15:val="{62B7353C-9CAB-4919-93A4-70457F38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7FE7"/>
    <w:pPr>
      <w:tabs>
        <w:tab w:val="center" w:pos="4536"/>
        <w:tab w:val="right" w:pos="9072"/>
      </w:tabs>
    </w:pPr>
  </w:style>
  <w:style w:type="paragraph" w:styleId="Zpat">
    <w:name w:val="footer"/>
    <w:basedOn w:val="Normln"/>
    <w:link w:val="ZpatChar"/>
    <w:uiPriority w:val="99"/>
    <w:rsid w:val="00947FE7"/>
    <w:pPr>
      <w:tabs>
        <w:tab w:val="center" w:pos="4536"/>
        <w:tab w:val="right" w:pos="9072"/>
      </w:tabs>
    </w:pPr>
  </w:style>
  <w:style w:type="paragraph" w:styleId="Zkladntext">
    <w:name w:val="Body Text"/>
    <w:basedOn w:val="Normln"/>
    <w:link w:val="ZkladntextChar"/>
    <w:rsid w:val="00B36373"/>
    <w:pPr>
      <w:spacing w:line="360" w:lineRule="auto"/>
      <w:jc w:val="both"/>
    </w:pPr>
  </w:style>
  <w:style w:type="character" w:customStyle="1" w:styleId="ZkladntextChar">
    <w:name w:val="Základní text Char"/>
    <w:basedOn w:val="Standardnpsmoodstavce"/>
    <w:link w:val="Zkladntext"/>
    <w:rsid w:val="00B36373"/>
    <w:rPr>
      <w:sz w:val="24"/>
      <w:szCs w:val="24"/>
    </w:rPr>
  </w:style>
  <w:style w:type="paragraph" w:styleId="Textbubliny">
    <w:name w:val="Balloon Text"/>
    <w:basedOn w:val="Normln"/>
    <w:link w:val="TextbublinyChar"/>
    <w:uiPriority w:val="99"/>
    <w:semiHidden/>
    <w:unhideWhenUsed/>
    <w:rsid w:val="00B36373"/>
    <w:rPr>
      <w:rFonts w:ascii="Tahoma" w:hAnsi="Tahoma" w:cs="Tahoma"/>
      <w:sz w:val="16"/>
      <w:szCs w:val="16"/>
    </w:rPr>
  </w:style>
  <w:style w:type="character" w:customStyle="1" w:styleId="TextbublinyChar">
    <w:name w:val="Text bubliny Char"/>
    <w:basedOn w:val="Standardnpsmoodstavce"/>
    <w:link w:val="Textbubliny"/>
    <w:uiPriority w:val="99"/>
    <w:semiHidden/>
    <w:rsid w:val="00B36373"/>
    <w:rPr>
      <w:rFonts w:ascii="Tahoma" w:hAnsi="Tahoma" w:cs="Tahoma"/>
      <w:sz w:val="16"/>
      <w:szCs w:val="16"/>
    </w:rPr>
  </w:style>
  <w:style w:type="table" w:styleId="Mkatabulky">
    <w:name w:val="Table Grid"/>
    <w:basedOn w:val="Normlntabulka"/>
    <w:uiPriority w:val="59"/>
    <w:rsid w:val="00B36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B36373"/>
    <w:rPr>
      <w:sz w:val="24"/>
      <w:szCs w:val="24"/>
    </w:rPr>
  </w:style>
  <w:style w:type="paragraph" w:styleId="Odstavecseseznamem">
    <w:name w:val="List Paragraph"/>
    <w:basedOn w:val="Normln"/>
    <w:uiPriority w:val="34"/>
    <w:qFormat/>
    <w:rsid w:val="004B75E0"/>
    <w:pPr>
      <w:ind w:left="720"/>
      <w:contextualSpacing/>
    </w:pPr>
  </w:style>
  <w:style w:type="character" w:styleId="Hypertextovodkaz">
    <w:name w:val="Hyperlink"/>
    <w:uiPriority w:val="99"/>
    <w:semiHidden/>
    <w:unhideWhenUsed/>
    <w:rsid w:val="00304E28"/>
    <w:rPr>
      <w:color w:val="0000FF"/>
      <w:u w:val="single"/>
    </w:rPr>
  </w:style>
  <w:style w:type="paragraph" w:styleId="Normlnweb">
    <w:name w:val="Normal (Web)"/>
    <w:basedOn w:val="Normln"/>
    <w:semiHidden/>
    <w:unhideWhenUsed/>
    <w:rsid w:val="00304E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787595">
      <w:bodyDiv w:val="1"/>
      <w:marLeft w:val="0"/>
      <w:marRight w:val="0"/>
      <w:marTop w:val="0"/>
      <w:marBottom w:val="0"/>
      <w:divBdr>
        <w:top w:val="none" w:sz="0" w:space="0" w:color="auto"/>
        <w:left w:val="none" w:sz="0" w:space="0" w:color="auto"/>
        <w:bottom w:val="none" w:sz="0" w:space="0" w:color="auto"/>
        <w:right w:val="none" w:sz="0" w:space="0" w:color="auto"/>
      </w:divBdr>
    </w:div>
    <w:div w:id="13645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pal@regio.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eniorombudsman.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nzument.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spotrebitel@regi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2856</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Vážený pán</vt:lpstr>
      <vt:lpstr>Vážený pán</vt:lpstr>
    </vt:vector>
  </TitlesOfParts>
  <Company>Hewlett-Packard Company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Bergmannova</cp:lastModifiedBy>
  <cp:revision>5</cp:revision>
  <cp:lastPrinted>2015-10-19T13:25:00Z</cp:lastPrinted>
  <dcterms:created xsi:type="dcterms:W3CDTF">2015-12-14T13:09:00Z</dcterms:created>
  <dcterms:modified xsi:type="dcterms:W3CDTF">2015-12-16T12:06:00Z</dcterms:modified>
</cp:coreProperties>
</file>