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59" w:rsidRPr="00C70704" w:rsidRDefault="00D36859" w:rsidP="00D36859">
      <w:pPr>
        <w:jc w:val="center"/>
        <w:rPr>
          <w:b/>
          <w:sz w:val="14"/>
        </w:rPr>
      </w:pPr>
      <w:r w:rsidRPr="00C70704">
        <w:rPr>
          <w:b/>
          <w:sz w:val="22"/>
        </w:rPr>
        <w:t>TISKOVÁ ZPRÁVA</w:t>
      </w:r>
      <w:r w:rsidR="005D4460">
        <w:rPr>
          <w:b/>
          <w:sz w:val="22"/>
        </w:rPr>
        <w:t xml:space="preserve"> </w:t>
      </w:r>
      <w:r w:rsidRPr="00C70704">
        <w:rPr>
          <w:b/>
          <w:sz w:val="22"/>
        </w:rPr>
        <w:t xml:space="preserve">Sdružení českých spotřebitelů </w:t>
      </w:r>
      <w:r>
        <w:rPr>
          <w:b/>
          <w:sz w:val="22"/>
        </w:rPr>
        <w:t>a Kabinetu pro standardizaci, o.p.s.</w:t>
      </w:r>
    </w:p>
    <w:p w:rsidR="00D36859" w:rsidRDefault="00D36859" w:rsidP="00D36859">
      <w:pPr>
        <w:ind w:left="360"/>
        <w:jc w:val="center"/>
        <w:rPr>
          <w:b/>
          <w:sz w:val="22"/>
          <w:szCs w:val="28"/>
        </w:rPr>
      </w:pPr>
    </w:p>
    <w:p w:rsidR="00D36859" w:rsidRPr="00EA1F7B" w:rsidRDefault="00B8146A" w:rsidP="00D36859">
      <w:pPr>
        <w:ind w:left="360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DĚTSKÁ HŘIŠTĚ A SPORTOVIŠTĚ ČASTO NESPLŇUJÍ NORMY A JSOU RIZIKEM PRO NAŠE DĚTI. STAČÍ PŘITOM MÁLO.</w:t>
      </w:r>
    </w:p>
    <w:p w:rsidR="00D36859" w:rsidRPr="00C70704" w:rsidRDefault="00D36859" w:rsidP="00D36859">
      <w:pPr>
        <w:ind w:left="360"/>
        <w:jc w:val="center"/>
        <w:rPr>
          <w:b/>
          <w:sz w:val="18"/>
          <w:szCs w:val="28"/>
        </w:rPr>
      </w:pPr>
    </w:p>
    <w:p w:rsidR="00691782" w:rsidRPr="00691782" w:rsidRDefault="00B8146A" w:rsidP="00D36859">
      <w:pPr>
        <w:pStyle w:val="Normln0"/>
        <w:spacing w:after="120" w:line="240" w:lineRule="auto"/>
        <w:ind w:left="15" w:hanging="15"/>
        <w:jc w:val="both"/>
        <w:rPr>
          <w:i/>
          <w:sz w:val="22"/>
          <w:szCs w:val="22"/>
        </w:rPr>
      </w:pPr>
      <w:r w:rsidRPr="004D06B0">
        <w:t>V Praze – 201</w:t>
      </w:r>
      <w:r>
        <w:t>5</w:t>
      </w:r>
      <w:r w:rsidRPr="004D06B0">
        <w:t>-</w:t>
      </w:r>
      <w:r>
        <w:t>05-18</w:t>
      </w:r>
      <w:r w:rsidRPr="00552182">
        <w:rPr>
          <w:i/>
          <w:sz w:val="22"/>
          <w:szCs w:val="22"/>
        </w:rPr>
        <w:t xml:space="preserve"> </w:t>
      </w:r>
      <w:r w:rsidR="00D36859" w:rsidRPr="00552182">
        <w:rPr>
          <w:i/>
          <w:sz w:val="22"/>
          <w:szCs w:val="22"/>
        </w:rPr>
        <w:t xml:space="preserve">„SČS s partnery se snaží působit na provozovatele </w:t>
      </w:r>
      <w:r w:rsidR="00D36859">
        <w:rPr>
          <w:i/>
          <w:sz w:val="22"/>
          <w:szCs w:val="22"/>
        </w:rPr>
        <w:t xml:space="preserve">dětských hřišť sportovišť, tělocvičen a podobných veřejně provozovaných zařízení tak, aby preventivě zajišťovali </w:t>
      </w:r>
      <w:r w:rsidR="006F25CE">
        <w:rPr>
          <w:i/>
          <w:sz w:val="22"/>
          <w:szCs w:val="22"/>
        </w:rPr>
        <w:t xml:space="preserve">a ověřovali </w:t>
      </w:r>
      <w:r w:rsidR="00D36859">
        <w:rPr>
          <w:i/>
          <w:sz w:val="22"/>
          <w:szCs w:val="22"/>
        </w:rPr>
        <w:t>bezpečný provoz svých zařízení</w:t>
      </w:r>
      <w:r w:rsidR="00D36859" w:rsidRPr="00552182">
        <w:rPr>
          <w:i/>
          <w:sz w:val="22"/>
          <w:szCs w:val="22"/>
        </w:rPr>
        <w:t>“</w:t>
      </w:r>
      <w:r w:rsidR="00D36859">
        <w:rPr>
          <w:sz w:val="22"/>
          <w:szCs w:val="22"/>
        </w:rPr>
        <w:t>,</w:t>
      </w:r>
      <w:r w:rsidR="00D36859" w:rsidRPr="005521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uvádí téma </w:t>
      </w:r>
      <w:r w:rsidR="00D36859" w:rsidRPr="00552182">
        <w:rPr>
          <w:sz w:val="22"/>
          <w:szCs w:val="22"/>
        </w:rPr>
        <w:t xml:space="preserve">Libor Dupal, </w:t>
      </w:r>
      <w:r w:rsidR="00D36859">
        <w:rPr>
          <w:sz w:val="22"/>
          <w:szCs w:val="22"/>
        </w:rPr>
        <w:t>ředitel</w:t>
      </w:r>
      <w:r w:rsidR="00D36859" w:rsidRPr="00552182">
        <w:rPr>
          <w:sz w:val="22"/>
          <w:szCs w:val="22"/>
        </w:rPr>
        <w:t xml:space="preserve"> </w:t>
      </w:r>
      <w:r w:rsidR="006F25CE" w:rsidRPr="006F25CE">
        <w:rPr>
          <w:sz w:val="22"/>
          <w:szCs w:val="22"/>
        </w:rPr>
        <w:t>Sdružení českých spotřebitelů</w:t>
      </w:r>
      <w:r w:rsidR="006F25CE" w:rsidRPr="00C70704">
        <w:rPr>
          <w:b/>
          <w:sz w:val="22"/>
        </w:rPr>
        <w:t xml:space="preserve"> </w:t>
      </w:r>
      <w:r w:rsidR="006F25CE">
        <w:rPr>
          <w:b/>
          <w:sz w:val="22"/>
        </w:rPr>
        <w:t>(</w:t>
      </w:r>
      <w:r w:rsidR="00D36859">
        <w:rPr>
          <w:sz w:val="22"/>
          <w:szCs w:val="22"/>
        </w:rPr>
        <w:t>SČS</w:t>
      </w:r>
      <w:r w:rsidR="006F25CE">
        <w:rPr>
          <w:sz w:val="22"/>
          <w:szCs w:val="22"/>
        </w:rPr>
        <w:t>)</w:t>
      </w:r>
      <w:r w:rsidR="00D36859">
        <w:rPr>
          <w:sz w:val="22"/>
          <w:szCs w:val="22"/>
        </w:rPr>
        <w:t xml:space="preserve"> a pokračuje: „</w:t>
      </w:r>
      <w:r w:rsidR="00691782" w:rsidRPr="00691782">
        <w:rPr>
          <w:i/>
          <w:sz w:val="22"/>
          <w:szCs w:val="22"/>
        </w:rPr>
        <w:t>Je to zásadní nejen s ohledem na uživatele takových zařízení, kterými jsou především děti a mládež, ale z hlediska odpovědnosti za způsobené škody je to zásadní i pro provozovatele.</w:t>
      </w:r>
      <w:r w:rsidR="00691782">
        <w:rPr>
          <w:i/>
          <w:sz w:val="22"/>
          <w:szCs w:val="22"/>
        </w:rPr>
        <w:t>“</w:t>
      </w:r>
    </w:p>
    <w:p w:rsidR="006F25CE" w:rsidRDefault="006F25CE" w:rsidP="006F25CE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Problematice věnují čas od času pozornost média, byť z našeho pohledu nikoliv dostatečnou. I tak můžeme odkázat na nedávné reportáže veřejnoprávní televize </w:t>
      </w:r>
      <w:r w:rsidRPr="000433FD">
        <w:rPr>
          <w:sz w:val="22"/>
          <w:szCs w:val="22"/>
        </w:rPr>
        <w:t>(</w:t>
      </w:r>
      <w:hyperlink r:id="rId8" w:history="1">
        <w:r w:rsidRPr="000433FD">
          <w:rPr>
            <w:rStyle w:val="Hypertextovodkaz"/>
            <w:sz w:val="22"/>
            <w:szCs w:val="22"/>
          </w:rPr>
          <w:t>ZDE</w:t>
        </w:r>
      </w:hyperlink>
      <w:r w:rsidRPr="000433FD">
        <w:rPr>
          <w:sz w:val="22"/>
          <w:szCs w:val="22"/>
        </w:rPr>
        <w:t xml:space="preserve">, či </w:t>
      </w:r>
      <w:hyperlink r:id="rId9" w:history="1">
        <w:r w:rsidRPr="000433FD">
          <w:rPr>
            <w:rStyle w:val="Hypertextovodkaz"/>
            <w:sz w:val="22"/>
            <w:szCs w:val="22"/>
          </w:rPr>
          <w:t>ZDE</w:t>
        </w:r>
      </w:hyperlink>
      <w:r w:rsidRPr="000433FD">
        <w:rPr>
          <w:sz w:val="22"/>
          <w:szCs w:val="22"/>
        </w:rPr>
        <w:t>).</w:t>
      </w:r>
    </w:p>
    <w:p w:rsidR="00D36859" w:rsidRDefault="00691782" w:rsidP="00D36859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 w:rsidRPr="00691782">
        <w:rPr>
          <w:sz w:val="22"/>
          <w:szCs w:val="22"/>
        </w:rPr>
        <w:t xml:space="preserve">Řešením je důsledné dodržování požadavků evropských </w:t>
      </w:r>
      <w:r w:rsidR="00D36859" w:rsidRPr="00691782">
        <w:rPr>
          <w:sz w:val="22"/>
          <w:szCs w:val="22"/>
        </w:rPr>
        <w:t xml:space="preserve">technických norem při zajišťování provozu hřišť a sportovišť. </w:t>
      </w:r>
      <w:r>
        <w:rPr>
          <w:sz w:val="22"/>
          <w:szCs w:val="22"/>
        </w:rPr>
        <w:t>SČS se svými partnery r</w:t>
      </w:r>
      <w:r w:rsidR="00D36859" w:rsidRPr="00691782">
        <w:rPr>
          <w:sz w:val="22"/>
          <w:szCs w:val="22"/>
        </w:rPr>
        <w:t xml:space="preserve">ůznými prostředky vysvětluje důležitost </w:t>
      </w:r>
      <w:r>
        <w:rPr>
          <w:sz w:val="22"/>
          <w:szCs w:val="22"/>
        </w:rPr>
        <w:t xml:space="preserve">norem </w:t>
      </w:r>
      <w:r w:rsidR="00D36859" w:rsidRPr="00691782">
        <w:rPr>
          <w:sz w:val="22"/>
          <w:szCs w:val="22"/>
        </w:rPr>
        <w:t>a vyvíjí</w:t>
      </w:r>
      <w:r>
        <w:rPr>
          <w:sz w:val="22"/>
          <w:szCs w:val="22"/>
        </w:rPr>
        <w:t xml:space="preserve"> </w:t>
      </w:r>
      <w:r w:rsidR="00D36859" w:rsidRPr="00691782">
        <w:rPr>
          <w:sz w:val="22"/>
          <w:szCs w:val="22"/>
        </w:rPr>
        <w:t>nástroje pro podporu jejich používání</w:t>
      </w:r>
      <w:r>
        <w:rPr>
          <w:sz w:val="22"/>
          <w:szCs w:val="22"/>
        </w:rPr>
        <w:t xml:space="preserve"> a ověřování s</w:t>
      </w:r>
      <w:r w:rsidR="006F25CE">
        <w:rPr>
          <w:sz w:val="22"/>
          <w:szCs w:val="22"/>
        </w:rPr>
        <w:t>plnění požadavků norem.</w:t>
      </w:r>
    </w:p>
    <w:p w:rsidR="00691782" w:rsidRDefault="00691782" w:rsidP="00D3685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loňském roce </w:t>
      </w:r>
      <w:r w:rsidR="006F25CE">
        <w:rPr>
          <w:sz w:val="22"/>
          <w:szCs w:val="22"/>
        </w:rPr>
        <w:t>SČS</w:t>
      </w:r>
      <w:r>
        <w:rPr>
          <w:sz w:val="22"/>
          <w:szCs w:val="22"/>
        </w:rPr>
        <w:t xml:space="preserve"> vyprac</w:t>
      </w:r>
      <w:r w:rsidR="006F25CE">
        <w:rPr>
          <w:sz w:val="22"/>
          <w:szCs w:val="22"/>
        </w:rPr>
        <w:t>ovalo a vydalo</w:t>
      </w:r>
      <w:r w:rsidR="00D36859">
        <w:rPr>
          <w:sz w:val="22"/>
          <w:szCs w:val="22"/>
        </w:rPr>
        <w:t xml:space="preserve"> </w:t>
      </w:r>
      <w:r w:rsidR="00B8146A" w:rsidRPr="003568F3">
        <w:rPr>
          <w:sz w:val="22"/>
          <w:szCs w:val="22"/>
        </w:rPr>
        <w:t>Příručk</w:t>
      </w:r>
      <w:r w:rsidR="006F25CE">
        <w:rPr>
          <w:sz w:val="22"/>
          <w:szCs w:val="22"/>
        </w:rPr>
        <w:t>u</w:t>
      </w:r>
      <w:r w:rsidR="00B8146A" w:rsidRPr="003568F3">
        <w:rPr>
          <w:sz w:val="22"/>
          <w:szCs w:val="22"/>
        </w:rPr>
        <w:t xml:space="preserve"> správné praxe pro bezpečný provoz</w:t>
      </w:r>
      <w:r w:rsidR="00B8146A">
        <w:rPr>
          <w:sz w:val="22"/>
          <w:szCs w:val="22"/>
        </w:rPr>
        <w:t xml:space="preserve"> </w:t>
      </w:r>
      <w:r w:rsidR="00B8146A" w:rsidRPr="003568F3">
        <w:rPr>
          <w:sz w:val="22"/>
          <w:szCs w:val="22"/>
        </w:rPr>
        <w:t>dětských hřišť, sportovišť a tělocvičen</w:t>
      </w:r>
      <w:r>
        <w:rPr>
          <w:sz w:val="22"/>
          <w:szCs w:val="22"/>
        </w:rPr>
        <w:t>, která je distribuována provozovatelům hřišť a sportovišť</w:t>
      </w:r>
      <w:r w:rsidR="000433FD">
        <w:rPr>
          <w:sz w:val="22"/>
          <w:szCs w:val="22"/>
        </w:rPr>
        <w:t>,</w:t>
      </w:r>
      <w:r>
        <w:rPr>
          <w:sz w:val="22"/>
          <w:szCs w:val="22"/>
        </w:rPr>
        <w:t xml:space="preserve"> mj. prostřednictvím řady seminářů a je k dispozici i na webu</w:t>
      </w:r>
      <w:r w:rsidR="000433FD">
        <w:rPr>
          <w:sz w:val="22"/>
          <w:szCs w:val="22"/>
        </w:rPr>
        <w:t xml:space="preserve"> (spolu s dalšími publikacemi na téma) </w:t>
      </w:r>
      <w:hyperlink r:id="rId10" w:history="1">
        <w:r w:rsidRPr="000433FD">
          <w:rPr>
            <w:rStyle w:val="Hypertextovodkaz"/>
            <w:sz w:val="22"/>
            <w:szCs w:val="22"/>
          </w:rPr>
          <w:t>ZDE</w:t>
        </w:r>
      </w:hyperlink>
      <w:r w:rsidRPr="000433FD">
        <w:rPr>
          <w:sz w:val="22"/>
          <w:szCs w:val="22"/>
        </w:rPr>
        <w:t>.</w:t>
      </w:r>
    </w:p>
    <w:p w:rsidR="0001754E" w:rsidRDefault="00D36859" w:rsidP="00D36859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>Během víceletého působení SČS</w:t>
      </w:r>
      <w:r w:rsidR="00691782">
        <w:rPr>
          <w:sz w:val="22"/>
          <w:szCs w:val="22"/>
        </w:rPr>
        <w:t>, Kabinetu pro standardizaci</w:t>
      </w:r>
      <w:r>
        <w:rPr>
          <w:sz w:val="22"/>
          <w:szCs w:val="22"/>
        </w:rPr>
        <w:t xml:space="preserve"> a zejména Profesní komory SOTKVO v této oblasti již mnoho provozovatelů chápe, že k zajištění bezpečného provozu je třeba dodržovat několik zásadních principů</w:t>
      </w:r>
      <w:r w:rsidR="0001754E">
        <w:rPr>
          <w:sz w:val="22"/>
          <w:szCs w:val="22"/>
        </w:rPr>
        <w:t xml:space="preserve">. </w:t>
      </w:r>
      <w:r w:rsidR="0001754E" w:rsidRPr="0001754E">
        <w:rPr>
          <w:sz w:val="22"/>
          <w:szCs w:val="22"/>
        </w:rPr>
        <w:t xml:space="preserve">V celém procesu uvedení zařízení do provozu a poté při vlastním provozu je třeba mít zajištěné řádné kontroly na několika úrovních, s důrazem na roční pravidelnou nezávislou odbornou kontrolu. Ta je totiž považována za pilíř k zajištění bezpečného provozu, protože pokud zjištěné závady po kvalifikované a objektivně provedené kontrole jsou odstraněny, riziko </w:t>
      </w:r>
      <w:r w:rsidR="006F25CE">
        <w:rPr>
          <w:sz w:val="22"/>
          <w:szCs w:val="22"/>
        </w:rPr>
        <w:t>úrazu je nulové</w:t>
      </w:r>
      <w:r w:rsidR="0001754E" w:rsidRPr="0001754E">
        <w:rPr>
          <w:sz w:val="22"/>
          <w:szCs w:val="22"/>
        </w:rPr>
        <w:t xml:space="preserve"> či alespoň minimální.</w:t>
      </w:r>
    </w:p>
    <w:p w:rsidR="00D36859" w:rsidRDefault="00D36859" w:rsidP="00D36859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Stále </w:t>
      </w:r>
      <w:r w:rsidR="005138F2">
        <w:rPr>
          <w:sz w:val="22"/>
          <w:szCs w:val="22"/>
        </w:rPr>
        <w:t xml:space="preserve">ale </w:t>
      </w:r>
      <w:r>
        <w:rPr>
          <w:sz w:val="22"/>
          <w:szCs w:val="22"/>
        </w:rPr>
        <w:t xml:space="preserve">existuje mnoho problémů a média nás občas bohužel informují o dalších případech i vážných úrazů dětí na hřištích a sportovištích. Negativní jsou nálezy </w:t>
      </w:r>
      <w:r w:rsidR="005138F2">
        <w:rPr>
          <w:sz w:val="22"/>
          <w:szCs w:val="22"/>
        </w:rPr>
        <w:t>České obchodní inspekce</w:t>
      </w:r>
      <w:r>
        <w:rPr>
          <w:sz w:val="22"/>
          <w:szCs w:val="22"/>
        </w:rPr>
        <w:t xml:space="preserve"> při kontrolách</w:t>
      </w:r>
      <w:r w:rsidR="006F25CE" w:rsidRPr="006F25CE">
        <w:rPr>
          <w:sz w:val="22"/>
          <w:szCs w:val="22"/>
        </w:rPr>
        <w:t xml:space="preserve"> </w:t>
      </w:r>
      <w:r w:rsidR="006F25CE">
        <w:rPr>
          <w:sz w:val="22"/>
          <w:szCs w:val="22"/>
        </w:rPr>
        <w:t>jejích inspektorů</w:t>
      </w:r>
      <w:r>
        <w:rPr>
          <w:sz w:val="22"/>
          <w:szCs w:val="22"/>
        </w:rPr>
        <w:t>.</w:t>
      </w:r>
      <w:r w:rsidR="005138F2">
        <w:rPr>
          <w:sz w:val="22"/>
          <w:szCs w:val="22"/>
        </w:rPr>
        <w:t xml:space="preserve"> Kompetence ČOI je pro tuto oblast vymezena velmi úzce, </w:t>
      </w:r>
      <w:r w:rsidR="00203D2D">
        <w:rPr>
          <w:sz w:val="22"/>
          <w:szCs w:val="22"/>
        </w:rPr>
        <w:t>a tento dozorový orgán proto</w:t>
      </w:r>
      <w:r w:rsidR="005138F2">
        <w:rPr>
          <w:sz w:val="22"/>
          <w:szCs w:val="22"/>
        </w:rPr>
        <w:t xml:space="preserve"> nekontroluje celou šíři provozu, ale pouze omezené spektrum povinností ve vztahu k certifikaci herních prvků</w:t>
      </w:r>
      <w:r w:rsidR="00203D2D">
        <w:rPr>
          <w:sz w:val="22"/>
          <w:szCs w:val="22"/>
        </w:rPr>
        <w:t>. P</w:t>
      </w:r>
      <w:r w:rsidR="005138F2">
        <w:rPr>
          <w:sz w:val="22"/>
          <w:szCs w:val="22"/>
        </w:rPr>
        <w:t xml:space="preserve">řesto nálezy </w:t>
      </w:r>
      <w:r w:rsidR="00203D2D">
        <w:rPr>
          <w:sz w:val="22"/>
          <w:szCs w:val="22"/>
        </w:rPr>
        <w:t xml:space="preserve">ČOI </w:t>
      </w:r>
      <w:r w:rsidR="005138F2">
        <w:rPr>
          <w:sz w:val="22"/>
          <w:szCs w:val="22"/>
        </w:rPr>
        <w:t>hovoří o zhruba 30% hřišť, kter</w:t>
      </w:r>
      <w:r w:rsidR="00203D2D">
        <w:rPr>
          <w:sz w:val="22"/>
          <w:szCs w:val="22"/>
        </w:rPr>
        <w:t>á</w:t>
      </w:r>
      <w:r w:rsidR="005138F2">
        <w:rPr>
          <w:sz w:val="22"/>
          <w:szCs w:val="22"/>
        </w:rPr>
        <w:t xml:space="preserve"> vykazují nedostatky. Naše zjištění, založená na kontrolách celého provozu,</w:t>
      </w:r>
      <w:r w:rsidR="0001754E">
        <w:rPr>
          <w:sz w:val="22"/>
          <w:szCs w:val="22"/>
        </w:rPr>
        <w:t xml:space="preserve"> včetně</w:t>
      </w:r>
      <w:r w:rsidR="005138F2">
        <w:rPr>
          <w:sz w:val="22"/>
          <w:szCs w:val="22"/>
        </w:rPr>
        <w:t xml:space="preserve"> vzájemného umístění herních prvků, míře opotřebení prvků</w:t>
      </w:r>
      <w:r w:rsidR="0001754E">
        <w:rPr>
          <w:sz w:val="22"/>
          <w:szCs w:val="22"/>
        </w:rPr>
        <w:t xml:space="preserve"> a dopadových ploch</w:t>
      </w:r>
      <w:r w:rsidR="005138F2">
        <w:rPr>
          <w:sz w:val="22"/>
          <w:szCs w:val="22"/>
        </w:rPr>
        <w:t xml:space="preserve"> atd. atd., jsou ještě horší.</w:t>
      </w:r>
      <w:r w:rsidR="0001754E">
        <w:rPr>
          <w:sz w:val="22"/>
          <w:szCs w:val="22"/>
        </w:rPr>
        <w:t xml:space="preserve"> I u nového zařízení doporučujeme </w:t>
      </w:r>
      <w:r w:rsidR="006F25CE">
        <w:rPr>
          <w:sz w:val="22"/>
          <w:szCs w:val="22"/>
        </w:rPr>
        <w:t xml:space="preserve">provozovateli </w:t>
      </w:r>
      <w:r w:rsidR="0001754E">
        <w:rPr>
          <w:sz w:val="22"/>
          <w:szCs w:val="22"/>
        </w:rPr>
        <w:t xml:space="preserve">přejímku odložit až po </w:t>
      </w:r>
      <w:r w:rsidR="0001754E">
        <w:rPr>
          <w:sz w:val="22"/>
        </w:rPr>
        <w:t>ověření správné instalace nezávislým subjektem.</w:t>
      </w:r>
    </w:p>
    <w:p w:rsidR="005138F2" w:rsidRDefault="00D36859" w:rsidP="00D36859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Naše zkušenosti </w:t>
      </w:r>
      <w:r w:rsidR="005138F2">
        <w:rPr>
          <w:sz w:val="22"/>
          <w:szCs w:val="22"/>
        </w:rPr>
        <w:t xml:space="preserve">dále ukazují, že někteří provozovatelé mají „dobrou vůli“ dodržovat provoz zařízení v souladu s normami, včetně </w:t>
      </w:r>
      <w:r w:rsidR="00203D2D">
        <w:rPr>
          <w:sz w:val="22"/>
          <w:szCs w:val="22"/>
        </w:rPr>
        <w:t>zajišťování</w:t>
      </w:r>
      <w:r w:rsidR="005138F2">
        <w:rPr>
          <w:sz w:val="22"/>
          <w:szCs w:val="22"/>
        </w:rPr>
        <w:t xml:space="preserve"> kontrolních mechanizmů, ale z různých důvodů provoz </w:t>
      </w:r>
      <w:r w:rsidR="006F25CE">
        <w:rPr>
          <w:sz w:val="22"/>
          <w:szCs w:val="22"/>
        </w:rPr>
        <w:t xml:space="preserve">jejich zařízení </w:t>
      </w:r>
      <w:r w:rsidR="005138F2">
        <w:rPr>
          <w:sz w:val="22"/>
          <w:szCs w:val="22"/>
        </w:rPr>
        <w:t>bezpečný není</w:t>
      </w:r>
      <w:r w:rsidR="00203D2D">
        <w:rPr>
          <w:sz w:val="22"/>
          <w:szCs w:val="22"/>
        </w:rPr>
        <w:t xml:space="preserve">. Stává se například, že roční kontroly jim zajišťuje výrobce/dodavatel hřiště či servisní technik, který zajišťuje opravy herních i sportovních prvků. </w:t>
      </w:r>
      <w:r w:rsidR="006F25CE">
        <w:rPr>
          <w:sz w:val="22"/>
          <w:szCs w:val="22"/>
        </w:rPr>
        <w:t>O</w:t>
      </w:r>
      <w:r w:rsidR="00203D2D">
        <w:rPr>
          <w:sz w:val="22"/>
          <w:szCs w:val="22"/>
        </w:rPr>
        <w:t xml:space="preserve">soba, která provádí </w:t>
      </w:r>
      <w:r w:rsidR="006F25CE">
        <w:rPr>
          <w:sz w:val="22"/>
          <w:szCs w:val="22"/>
        </w:rPr>
        <w:t xml:space="preserve">takovou </w:t>
      </w:r>
      <w:r w:rsidR="00203D2D">
        <w:rPr>
          <w:sz w:val="22"/>
          <w:szCs w:val="22"/>
        </w:rPr>
        <w:t>kontrolu, je ve střetu zájmů, protože zároveň prvky buď dodala a instalovala, anebo je opravuje. Takový kontrolor ale samozřejmě není nezávislý.</w:t>
      </w:r>
    </w:p>
    <w:p w:rsidR="00D36859" w:rsidRDefault="00203D2D" w:rsidP="00203D2D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>Proto SČS s partnery vyvinul</w:t>
      </w:r>
      <w:r w:rsidR="006F25CE">
        <w:rPr>
          <w:sz w:val="22"/>
          <w:szCs w:val="22"/>
        </w:rPr>
        <w:t>o</w:t>
      </w:r>
      <w:r>
        <w:rPr>
          <w:sz w:val="22"/>
          <w:szCs w:val="22"/>
        </w:rPr>
        <w:t xml:space="preserve"> a zavedlo značku kvality, která takovéto nedostatky a nedorozumění eliminuje. “</w:t>
      </w:r>
      <w:r w:rsidR="00D36859" w:rsidRPr="002066F0">
        <w:rPr>
          <w:i/>
          <w:sz w:val="22"/>
          <w:szCs w:val="22"/>
        </w:rPr>
        <w:t xml:space="preserve">Aby měl provozovatel jistotu správného postupu při zajišťování provozu hřiště či sportoviště, </w:t>
      </w:r>
      <w:r w:rsidR="00D36859">
        <w:rPr>
          <w:i/>
          <w:sz w:val="22"/>
          <w:szCs w:val="22"/>
        </w:rPr>
        <w:t>byl vyvinut</w:t>
      </w:r>
      <w:r w:rsidR="00D36859" w:rsidRPr="002066F0">
        <w:rPr>
          <w:i/>
          <w:sz w:val="22"/>
          <w:szCs w:val="22"/>
        </w:rPr>
        <w:t xml:space="preserve"> model nezávislého ověření kvalitního a bezpečného provozu v souladu s technickými normami, jehož součástí je udělení práva používat značku deklarující bezpečný provoz</w:t>
      </w:r>
      <w:r w:rsidR="00D36859">
        <w:rPr>
          <w:i/>
          <w:sz w:val="22"/>
          <w:szCs w:val="22"/>
        </w:rPr>
        <w:t>,“</w:t>
      </w:r>
      <w:r w:rsidR="00D36859" w:rsidRPr="002066F0">
        <w:rPr>
          <w:i/>
          <w:sz w:val="22"/>
          <w:szCs w:val="22"/>
        </w:rPr>
        <w:t xml:space="preserve"> </w:t>
      </w:r>
      <w:r w:rsidR="00D36859">
        <w:rPr>
          <w:sz w:val="22"/>
          <w:szCs w:val="22"/>
        </w:rPr>
        <w:t xml:space="preserve">uzavírá </w:t>
      </w:r>
      <w:r>
        <w:rPr>
          <w:sz w:val="22"/>
          <w:szCs w:val="22"/>
        </w:rPr>
        <w:t>Dupal</w:t>
      </w:r>
      <w:r w:rsidR="00D36859">
        <w:rPr>
          <w:sz w:val="22"/>
          <w:szCs w:val="22"/>
        </w:rPr>
        <w:t>.</w:t>
      </w:r>
      <w:r w:rsidR="00D36859" w:rsidRPr="002066F0">
        <w:rPr>
          <w:sz w:val="22"/>
          <w:szCs w:val="22"/>
        </w:rPr>
        <w:t xml:space="preserve"> </w:t>
      </w:r>
      <w:r w:rsidR="00D36859" w:rsidRPr="00D30464">
        <w:rPr>
          <w:sz w:val="22"/>
          <w:szCs w:val="22"/>
        </w:rPr>
        <w:t xml:space="preserve">Značka kvality „Hřiště-sportoviště-tělocvična - </w:t>
      </w:r>
      <w:r w:rsidR="00365E2C" w:rsidRPr="00D30464">
        <w:rPr>
          <w:sz w:val="22"/>
          <w:szCs w:val="22"/>
        </w:rPr>
        <w:t>Ověřený provoz</w:t>
      </w:r>
      <w:r w:rsidR="00D36859" w:rsidRPr="00D30464">
        <w:rPr>
          <w:sz w:val="22"/>
          <w:szCs w:val="22"/>
        </w:rPr>
        <w:t xml:space="preserve">“ </w:t>
      </w:r>
      <w:r w:rsidR="00D36859">
        <w:rPr>
          <w:sz w:val="22"/>
          <w:szCs w:val="22"/>
        </w:rPr>
        <w:t>je důvěryhodnou informací</w:t>
      </w:r>
      <w:r w:rsidR="00D36859" w:rsidRPr="00D30464">
        <w:rPr>
          <w:sz w:val="22"/>
          <w:szCs w:val="22"/>
        </w:rPr>
        <w:t>, že provozované zařízení má a udržuje si vysokou míru bezpečného a kvalitního provozu</w:t>
      </w:r>
      <w:r w:rsidR="00D36859">
        <w:rPr>
          <w:sz w:val="22"/>
          <w:szCs w:val="22"/>
        </w:rPr>
        <w:t xml:space="preserve">. </w:t>
      </w:r>
    </w:p>
    <w:p w:rsidR="00B8146A" w:rsidRPr="00B8146A" w:rsidRDefault="00B8146A" w:rsidP="00B8146A">
      <w:pPr>
        <w:pStyle w:val="Normln0"/>
        <w:spacing w:after="120" w:line="240" w:lineRule="auto"/>
        <w:ind w:left="15" w:hanging="15"/>
        <w:jc w:val="both"/>
        <w:rPr>
          <w:sz w:val="22"/>
          <w:szCs w:val="22"/>
        </w:rPr>
      </w:pPr>
      <w:r w:rsidRPr="00B8146A">
        <w:rPr>
          <w:sz w:val="22"/>
          <w:szCs w:val="22"/>
        </w:rPr>
        <w:t>Dětská hřiště a sportoviště často nesplňují normy a jsou rizikem pro naše děti. Stačí přitom málo</w:t>
      </w:r>
      <w:r>
        <w:rPr>
          <w:sz w:val="22"/>
          <w:szCs w:val="22"/>
        </w:rPr>
        <w:t xml:space="preserve"> – zlepšit zodpovědnost přístupu provozovatelů k ověř</w:t>
      </w:r>
      <w:r w:rsidR="00365E2C">
        <w:rPr>
          <w:sz w:val="22"/>
          <w:szCs w:val="22"/>
        </w:rPr>
        <w:t>ování</w:t>
      </w:r>
      <w:r>
        <w:rPr>
          <w:sz w:val="22"/>
          <w:szCs w:val="22"/>
        </w:rPr>
        <w:t>, že jejich zařízení splňuje normy.</w:t>
      </w:r>
    </w:p>
    <w:p w:rsidR="00B8146A" w:rsidRPr="00BB7BD2" w:rsidRDefault="00B8146A" w:rsidP="005D4460">
      <w:pPr>
        <w:tabs>
          <w:tab w:val="num" w:pos="720"/>
          <w:tab w:val="num" w:pos="993"/>
        </w:tabs>
        <w:spacing w:after="120"/>
        <w:jc w:val="both"/>
        <w:rPr>
          <w:i/>
          <w:sz w:val="20"/>
          <w:szCs w:val="22"/>
        </w:rPr>
      </w:pPr>
      <w:r w:rsidRPr="002C71EB">
        <w:rPr>
          <w:sz w:val="22"/>
        </w:rPr>
        <w:t>Ing. Libor Dupal</w:t>
      </w:r>
      <w:r>
        <w:rPr>
          <w:sz w:val="22"/>
        </w:rPr>
        <w:t>, ředitel SČS</w:t>
      </w:r>
      <w:r w:rsidR="005D4460">
        <w:rPr>
          <w:sz w:val="22"/>
        </w:rPr>
        <w:t xml:space="preserve">; </w:t>
      </w:r>
      <w:r w:rsidRPr="00BB7BD2">
        <w:rPr>
          <w:i/>
          <w:sz w:val="20"/>
          <w:szCs w:val="22"/>
        </w:rPr>
        <w:t xml:space="preserve">Kontakt: </w:t>
      </w:r>
      <w:hyperlink r:id="rId11" w:history="1">
        <w:r w:rsidRPr="00BB7BD2">
          <w:rPr>
            <w:rStyle w:val="Hypertextovodkaz"/>
            <w:i/>
            <w:sz w:val="20"/>
            <w:szCs w:val="22"/>
          </w:rPr>
          <w:t>dupal@regio.cz</w:t>
        </w:r>
      </w:hyperlink>
      <w:r w:rsidRPr="00BB7BD2">
        <w:rPr>
          <w:i/>
          <w:sz w:val="20"/>
          <w:szCs w:val="22"/>
        </w:rPr>
        <w:t>;</w:t>
      </w:r>
      <w:r>
        <w:rPr>
          <w:i/>
          <w:sz w:val="20"/>
          <w:szCs w:val="22"/>
        </w:rPr>
        <w:t xml:space="preserve"> mobil: 602561856;</w:t>
      </w:r>
      <w:r w:rsidRPr="00BB7BD2">
        <w:rPr>
          <w:i/>
          <w:sz w:val="20"/>
          <w:szCs w:val="22"/>
        </w:rPr>
        <w:t xml:space="preserve"> </w:t>
      </w:r>
      <w:hyperlink r:id="rId12" w:history="1">
        <w:r w:rsidRPr="00BB7BD2">
          <w:rPr>
            <w:rStyle w:val="Hypertextovodkaz"/>
            <w:i/>
            <w:sz w:val="20"/>
            <w:szCs w:val="22"/>
          </w:rPr>
          <w:t>www.konzument.cz</w:t>
        </w:r>
      </w:hyperlink>
    </w:p>
    <w:p w:rsidR="00D36859" w:rsidRDefault="0001754E" w:rsidP="00D36859">
      <w:pPr>
        <w:rPr>
          <w:sz w:val="22"/>
          <w:szCs w:val="22"/>
        </w:rPr>
      </w:pPr>
      <w:r>
        <w:rPr>
          <w:sz w:val="22"/>
          <w:szCs w:val="22"/>
        </w:rPr>
        <w:lastRenderedPageBreak/>
        <w:t>Odkazy na weby:</w:t>
      </w:r>
    </w:p>
    <w:p w:rsidR="00B8146A" w:rsidRPr="006F25CE" w:rsidRDefault="004B0A6C" w:rsidP="00B8146A">
      <w:pPr>
        <w:pStyle w:val="Odstavecseseznamem"/>
        <w:numPr>
          <w:ilvl w:val="0"/>
          <w:numId w:val="30"/>
        </w:numPr>
        <w:rPr>
          <w:sz w:val="22"/>
        </w:rPr>
      </w:pPr>
      <w:hyperlink r:id="rId13" w:history="1">
        <w:r w:rsidR="00B8146A" w:rsidRPr="006F25CE">
          <w:rPr>
            <w:sz w:val="22"/>
          </w:rPr>
          <w:t>www.overenehriste.cz</w:t>
        </w:r>
      </w:hyperlink>
      <w:r w:rsidR="006F25CE" w:rsidRPr="006F25CE">
        <w:rPr>
          <w:sz w:val="22"/>
        </w:rPr>
        <w:t xml:space="preserve"> </w:t>
      </w:r>
    </w:p>
    <w:p w:rsidR="00D36859" w:rsidRPr="006F25CE" w:rsidRDefault="0001754E" w:rsidP="0001754E">
      <w:pPr>
        <w:pStyle w:val="Odstavecseseznamem"/>
        <w:numPr>
          <w:ilvl w:val="0"/>
          <w:numId w:val="30"/>
        </w:numPr>
        <w:rPr>
          <w:sz w:val="22"/>
        </w:rPr>
      </w:pPr>
      <w:r w:rsidRPr="006F25CE">
        <w:rPr>
          <w:sz w:val="22"/>
        </w:rPr>
        <w:t xml:space="preserve">ČT1, </w:t>
      </w:r>
      <w:r w:rsidR="00D36859" w:rsidRPr="006F25CE">
        <w:rPr>
          <w:sz w:val="22"/>
        </w:rPr>
        <w:t>Událost</w:t>
      </w:r>
      <w:r w:rsidRPr="006F25CE">
        <w:rPr>
          <w:sz w:val="22"/>
        </w:rPr>
        <w:t xml:space="preserve">i </w:t>
      </w:r>
      <w:r w:rsidR="00D36859" w:rsidRPr="006F25CE">
        <w:rPr>
          <w:sz w:val="22"/>
        </w:rPr>
        <w:t>ze dne 11.4.2015 od 29:01 minuty:</w:t>
      </w:r>
      <w:r w:rsidRPr="006F25CE">
        <w:rPr>
          <w:sz w:val="22"/>
        </w:rPr>
        <w:t xml:space="preserve"> </w:t>
      </w:r>
      <w:hyperlink r:id="rId14" w:history="1">
        <w:r w:rsidR="00D36859" w:rsidRPr="006F25CE">
          <w:rPr>
            <w:rStyle w:val="Hypertextovodkaz"/>
            <w:sz w:val="22"/>
          </w:rPr>
          <w:t>http://www.ceskatelevize.cz/ivysilani/1097181328-udalosti/215411000100411/obsah/393441-nebezpecna-hriste</w:t>
        </w:r>
      </w:hyperlink>
      <w:r w:rsidR="00D36859" w:rsidRPr="006F25CE">
        <w:rPr>
          <w:sz w:val="22"/>
        </w:rPr>
        <w:t xml:space="preserve">. </w:t>
      </w:r>
    </w:p>
    <w:p w:rsidR="00D36859" w:rsidRPr="006F25CE" w:rsidRDefault="00AC6BA6" w:rsidP="00D47A2E">
      <w:pPr>
        <w:pStyle w:val="Odstavecseseznamem"/>
        <w:numPr>
          <w:ilvl w:val="0"/>
          <w:numId w:val="30"/>
        </w:numPr>
        <w:rPr>
          <w:sz w:val="22"/>
        </w:rPr>
      </w:pPr>
      <w:r w:rsidRPr="006F25CE">
        <w:rPr>
          <w:sz w:val="22"/>
        </w:rPr>
        <w:t>ČT1, Události ze dne 11.4.2015</w:t>
      </w:r>
      <w:bookmarkStart w:id="0" w:name="_GoBack"/>
      <w:bookmarkEnd w:id="0"/>
      <w:r w:rsidR="0001754E" w:rsidRPr="006F25CE">
        <w:rPr>
          <w:sz w:val="22"/>
        </w:rPr>
        <w:t xml:space="preserve">, </w:t>
      </w:r>
      <w:r w:rsidR="00D36859" w:rsidRPr="006F25CE">
        <w:rPr>
          <w:sz w:val="22"/>
        </w:rPr>
        <w:t>od 31:56 minuty:</w:t>
      </w:r>
      <w:r w:rsidR="0001754E" w:rsidRPr="006F25CE">
        <w:rPr>
          <w:sz w:val="22"/>
        </w:rPr>
        <w:t xml:space="preserve"> </w:t>
      </w:r>
      <w:hyperlink r:id="rId15" w:history="1">
        <w:r w:rsidR="00D36859" w:rsidRPr="006F25CE">
          <w:rPr>
            <w:rStyle w:val="Hypertextovodkaz"/>
            <w:sz w:val="22"/>
          </w:rPr>
          <w:t>http://www.ceskatelevize.cz/ivysilani/1097181328-udalosti/215411000100411/obsah/393443-nebezpecna-hriste</w:t>
        </w:r>
      </w:hyperlink>
      <w:r w:rsidR="00D36859" w:rsidRPr="006F25CE">
        <w:rPr>
          <w:sz w:val="22"/>
        </w:rPr>
        <w:t xml:space="preserve">. </w:t>
      </w:r>
    </w:p>
    <w:p w:rsidR="00D36859" w:rsidRPr="006F25CE" w:rsidRDefault="00B8146A" w:rsidP="00AC6BA6">
      <w:pPr>
        <w:pStyle w:val="Odstavecseseznamem"/>
        <w:numPr>
          <w:ilvl w:val="0"/>
          <w:numId w:val="30"/>
        </w:numPr>
        <w:rPr>
          <w:sz w:val="22"/>
        </w:rPr>
      </w:pPr>
      <w:r w:rsidRPr="006F25CE">
        <w:rPr>
          <w:sz w:val="22"/>
        </w:rPr>
        <w:t xml:space="preserve">Příručka správné praxe pro bezpečný provoz dětských hřišť, sportovišť a tělocvičen - </w:t>
      </w:r>
      <w:hyperlink r:id="rId16" w:history="1">
        <w:r w:rsidR="00AC6BA6" w:rsidRPr="00F87B5D">
          <w:rPr>
            <w:rStyle w:val="Hypertextovodkaz"/>
            <w:sz w:val="22"/>
          </w:rPr>
          <w:t>http://www.konzument.cz/users/publications/10-top-normy/134-prirucka-spravne-praxe-pro-bezpecny-provoz-verejnych-zarizeni-pro-hry-a-sport-deti-a-mladeze.pdf</w:t>
        </w:r>
      </w:hyperlink>
      <w:r w:rsidR="00AC6BA6">
        <w:rPr>
          <w:sz w:val="22"/>
        </w:rPr>
        <w:t xml:space="preserve"> </w:t>
      </w:r>
    </w:p>
    <w:p w:rsidR="00D36859" w:rsidRDefault="00B8146A" w:rsidP="00D36859">
      <w:pPr>
        <w:tabs>
          <w:tab w:val="num" w:pos="720"/>
          <w:tab w:val="num" w:pos="993"/>
        </w:tabs>
        <w:spacing w:after="120"/>
        <w:jc w:val="both"/>
        <w:rPr>
          <w:sz w:val="22"/>
        </w:rPr>
      </w:pPr>
      <w:r>
        <w:rPr>
          <w:sz w:val="22"/>
        </w:rPr>
        <w:t xml:space="preserve"> </w:t>
      </w:r>
    </w:p>
    <w:p w:rsidR="00D36859" w:rsidRDefault="00D36859" w:rsidP="00D36859">
      <w:pPr>
        <w:tabs>
          <w:tab w:val="num" w:pos="720"/>
          <w:tab w:val="num" w:pos="993"/>
        </w:tabs>
        <w:spacing w:after="120"/>
        <w:jc w:val="both"/>
        <w:rPr>
          <w:sz w:val="22"/>
        </w:rPr>
      </w:pPr>
      <w:r>
        <w:rPr>
          <w:sz w:val="22"/>
        </w:rPr>
        <w:t>Partneři: Profesní komora SOTKVO, Kabinet pro standardizaci, o.p.s.</w:t>
      </w:r>
    </w:p>
    <w:p w:rsidR="00B8146A" w:rsidRPr="00BB7BD2" w:rsidRDefault="00B8146A" w:rsidP="00D36859">
      <w:pPr>
        <w:tabs>
          <w:tab w:val="num" w:pos="720"/>
          <w:tab w:val="num" w:pos="993"/>
        </w:tabs>
        <w:spacing w:after="120"/>
        <w:jc w:val="both"/>
        <w:rPr>
          <w:sz w:val="22"/>
        </w:rPr>
      </w:pPr>
      <w:r w:rsidRPr="00BB7BD2">
        <w:rPr>
          <w:rFonts w:ascii="Arial Narrow" w:hAnsi="Arial Narrow"/>
          <w:noProof/>
          <w:sz w:val="22"/>
        </w:rPr>
        <w:drawing>
          <wp:inline distT="0" distB="0" distL="0" distR="0" wp14:anchorId="25C84178" wp14:editId="0E845451">
            <wp:extent cx="1367155" cy="744855"/>
            <wp:effectExtent l="0" t="0" r="4445" b="0"/>
            <wp:docPr id="6" name="Obrázek 6" descr="logo_reg_rgb_horizontal_ceska_kva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reg_rgb_horizontal_ceska_kvalit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859" w:rsidRDefault="00D36859" w:rsidP="00D36859">
      <w:pPr>
        <w:pStyle w:val="Normlnweb"/>
        <w:spacing w:before="0" w:beforeAutospacing="0" w:after="0" w:afterAutospacing="0"/>
        <w:rPr>
          <w:sz w:val="18"/>
          <w:szCs w:val="18"/>
        </w:rPr>
      </w:pPr>
      <w:r>
        <w:rPr>
          <w:b/>
          <w:sz w:val="18"/>
          <w:szCs w:val="18"/>
        </w:rPr>
        <w:t>Sdružení českých spotřebitelů, z.ú. (SČS)</w:t>
      </w:r>
      <w:r>
        <w:rPr>
          <w:sz w:val="18"/>
          <w:szCs w:val="18"/>
        </w:rPr>
        <w:t xml:space="preserve"> si klade za cíl hájit oprávněné zájmy a práva spotřebitelů na vnitřním trhu EU a ČR, přičemž zdůrazňuje preventivní stránku ochrany zájmů spotřebitelů: „Jen poučený spotřebitel se dokáže účinně hájit“. SČS působí v řadě oblastí - pokrývají odbornosti ve vztahu ke kvalitě a bezpečnosti výrobků včetně potravin, technické normalizaci a standardizaci, kvalitě a bezpečnosti služeb včetně služeb finančního trhu aj. </w:t>
      </w:r>
    </w:p>
    <w:p w:rsidR="00D36859" w:rsidRDefault="00D36859" w:rsidP="00D36859">
      <w:pPr>
        <w:rPr>
          <w:sz w:val="18"/>
          <w:szCs w:val="18"/>
        </w:rPr>
      </w:pPr>
      <w:r w:rsidRPr="008516C6">
        <w:rPr>
          <w:sz w:val="18"/>
          <w:szCs w:val="18"/>
        </w:rPr>
        <w:t xml:space="preserve">Pod Altánem 99/103; 100 00  Praha 10 </w:t>
      </w:r>
      <w:r>
        <w:rPr>
          <w:sz w:val="18"/>
          <w:szCs w:val="18"/>
        </w:rPr>
        <w:t>–</w:t>
      </w:r>
      <w:r w:rsidRPr="008516C6">
        <w:rPr>
          <w:sz w:val="18"/>
          <w:szCs w:val="18"/>
        </w:rPr>
        <w:t xml:space="preserve"> Strašnice</w:t>
      </w:r>
      <w:r>
        <w:rPr>
          <w:sz w:val="18"/>
          <w:szCs w:val="18"/>
        </w:rPr>
        <w:t xml:space="preserve">; +420 261263574, </w:t>
      </w:r>
      <w:hyperlink r:id="rId18" w:history="1">
        <w:r w:rsidRPr="00A67115">
          <w:rPr>
            <w:sz w:val="18"/>
            <w:szCs w:val="18"/>
          </w:rPr>
          <w:t>spotrebitel@regio.cz</w:t>
        </w:r>
      </w:hyperlink>
      <w:r>
        <w:rPr>
          <w:sz w:val="18"/>
          <w:szCs w:val="18"/>
        </w:rPr>
        <w:t xml:space="preserve">; </w:t>
      </w:r>
      <w:hyperlink r:id="rId19" w:history="1">
        <w:r w:rsidRPr="00A67115">
          <w:rPr>
            <w:sz w:val="18"/>
            <w:szCs w:val="18"/>
          </w:rPr>
          <w:t>www.konzument.cz</w:t>
        </w:r>
      </w:hyperlink>
    </w:p>
    <w:p w:rsidR="00D36859" w:rsidRDefault="00D36859" w:rsidP="00D36859">
      <w:pPr>
        <w:pStyle w:val="Normlnweb"/>
        <w:spacing w:before="0" w:beforeAutospacing="0" w:after="0" w:afterAutospacing="0"/>
        <w:rPr>
          <w:b/>
          <w:sz w:val="18"/>
          <w:szCs w:val="18"/>
        </w:rPr>
      </w:pPr>
    </w:p>
    <w:p w:rsidR="00D36859" w:rsidRDefault="00D36859" w:rsidP="00D36859">
      <w:pPr>
        <w:pStyle w:val="Normlnweb"/>
        <w:spacing w:before="0" w:beforeAutospacing="0" w:after="0" w:afterAutospacing="0"/>
        <w:rPr>
          <w:sz w:val="18"/>
          <w:szCs w:val="18"/>
        </w:rPr>
      </w:pPr>
      <w:r>
        <w:rPr>
          <w:b/>
          <w:sz w:val="18"/>
          <w:szCs w:val="18"/>
        </w:rPr>
        <w:t>Kabinet pro standardizaci, o.p.s. (KaStan)</w:t>
      </w:r>
      <w:r>
        <w:rPr>
          <w:sz w:val="18"/>
          <w:szCs w:val="18"/>
        </w:rPr>
        <w:t xml:space="preserve"> je nezávislou obecně prospěšnou společností založenou </w:t>
      </w:r>
      <w:r w:rsidRPr="00A67115">
        <w:rPr>
          <w:sz w:val="18"/>
          <w:szCs w:val="18"/>
        </w:rPr>
        <w:t>Sdružení</w:t>
      </w:r>
      <w:r>
        <w:rPr>
          <w:sz w:val="18"/>
          <w:szCs w:val="18"/>
        </w:rPr>
        <w:t>m</w:t>
      </w:r>
      <w:r w:rsidRPr="00A67115">
        <w:rPr>
          <w:sz w:val="18"/>
          <w:szCs w:val="18"/>
        </w:rPr>
        <w:t xml:space="preserve"> českých spotřebitelů</w:t>
      </w:r>
      <w:r>
        <w:rPr>
          <w:sz w:val="18"/>
          <w:szCs w:val="18"/>
        </w:rPr>
        <w:t xml:space="preserve">. Cílem je zvyšování bezpečnosti a kvality výrobků a služeb vytvářením a podporou funkce nástrojů zajišťujících účinné zapojení spotřebitelů do standardizačních procesů (technická normalizace, certifikace a posuzování shody, akreditace, dozor nad trhem), včetně uplatňování technických předpisů a norem. </w:t>
      </w:r>
    </w:p>
    <w:p w:rsidR="00D36859" w:rsidRDefault="00D36859" w:rsidP="00D36859">
      <w:pPr>
        <w:rPr>
          <w:rFonts w:ascii="Arial" w:hAnsi="Arial" w:cs="Arial"/>
          <w:color w:val="333399"/>
          <w:sz w:val="18"/>
          <w:szCs w:val="18"/>
        </w:rPr>
      </w:pPr>
      <w:r w:rsidRPr="008516C6">
        <w:rPr>
          <w:sz w:val="18"/>
          <w:szCs w:val="18"/>
        </w:rPr>
        <w:t xml:space="preserve">Pod Altánem 99/103; 100 00  Praha 10 </w:t>
      </w:r>
      <w:r>
        <w:rPr>
          <w:sz w:val="18"/>
          <w:szCs w:val="18"/>
        </w:rPr>
        <w:t>–</w:t>
      </w:r>
      <w:r w:rsidRPr="008516C6">
        <w:rPr>
          <w:sz w:val="18"/>
          <w:szCs w:val="18"/>
        </w:rPr>
        <w:t xml:space="preserve"> Strašnice</w:t>
      </w:r>
      <w:r>
        <w:rPr>
          <w:sz w:val="18"/>
          <w:szCs w:val="18"/>
        </w:rPr>
        <w:t xml:space="preserve">; +420 261263574, normy@regio.cz; www.top-normy.cz </w:t>
      </w:r>
    </w:p>
    <w:p w:rsidR="00D36859" w:rsidRDefault="00D36859" w:rsidP="00D36859">
      <w:pPr>
        <w:rPr>
          <w:sz w:val="22"/>
          <w:szCs w:val="22"/>
        </w:rPr>
      </w:pPr>
    </w:p>
    <w:p w:rsidR="00D36859" w:rsidRPr="00CC5F08" w:rsidRDefault="00D36859" w:rsidP="00D36859"/>
    <w:p w:rsidR="00BB07A6" w:rsidRDefault="00BB07A6" w:rsidP="009360CB">
      <w:pPr>
        <w:spacing w:after="120"/>
        <w:jc w:val="both"/>
        <w:rPr>
          <w:sz w:val="22"/>
          <w:szCs w:val="22"/>
        </w:rPr>
      </w:pPr>
    </w:p>
    <w:p w:rsidR="00BB07A6" w:rsidRPr="00BB07A6" w:rsidRDefault="00BB07A6" w:rsidP="00BB07A6">
      <w:pPr>
        <w:rPr>
          <w:sz w:val="22"/>
          <w:szCs w:val="22"/>
        </w:rPr>
      </w:pPr>
    </w:p>
    <w:p w:rsidR="00C62AAE" w:rsidRPr="00BB07A6" w:rsidRDefault="00C62AAE" w:rsidP="00BB07A6">
      <w:pPr>
        <w:tabs>
          <w:tab w:val="left" w:pos="2670"/>
        </w:tabs>
        <w:rPr>
          <w:sz w:val="22"/>
          <w:szCs w:val="22"/>
        </w:rPr>
      </w:pPr>
    </w:p>
    <w:sectPr w:rsidR="00C62AAE" w:rsidRPr="00BB07A6" w:rsidSect="00CA4A7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6C" w:rsidRDefault="004B0A6C">
      <w:r>
        <w:separator/>
      </w:r>
    </w:p>
  </w:endnote>
  <w:endnote w:type="continuationSeparator" w:id="0">
    <w:p w:rsidR="004B0A6C" w:rsidRDefault="004B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DE" w:rsidRDefault="00D211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211DE" w:rsidRDefault="00D211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DE" w:rsidRDefault="00D211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6BA6">
      <w:rPr>
        <w:rStyle w:val="slostrnky"/>
        <w:noProof/>
      </w:rPr>
      <w:t>1</w:t>
    </w:r>
    <w:r>
      <w:rPr>
        <w:rStyle w:val="slostrnky"/>
      </w:rPr>
      <w:fldChar w:fldCharType="end"/>
    </w:r>
  </w:p>
  <w:tbl>
    <w:tblPr>
      <w:tblW w:w="9709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3123"/>
      <w:gridCol w:w="3420"/>
      <w:gridCol w:w="1116"/>
    </w:tblGrid>
    <w:tr w:rsidR="00D211DE" w:rsidTr="004C7619">
      <w:trPr>
        <w:trHeight w:val="416"/>
      </w:trPr>
      <w:tc>
        <w:tcPr>
          <w:tcW w:w="2050" w:type="dxa"/>
        </w:tcPr>
        <w:p w:rsidR="00D211DE" w:rsidRDefault="00D211DE" w:rsidP="004C7619">
          <w:pPr>
            <w:spacing w:line="276" w:lineRule="auto"/>
            <w:rPr>
              <w:sz w:val="6"/>
            </w:rPr>
          </w:pPr>
        </w:p>
        <w:p w:rsidR="00D211DE" w:rsidRDefault="00BB07A6" w:rsidP="004C7619">
          <w:pPr>
            <w:spacing w:line="276" w:lineRule="auto"/>
          </w:pPr>
          <w:r>
            <w:rPr>
              <w:bCs/>
              <w:color w:val="7F7F7F" w:themeColor="text1" w:themeTint="80"/>
              <w:spacing w:val="10"/>
              <w:sz w:val="18"/>
              <w:szCs w:val="16"/>
            </w:rPr>
            <w:t>Pod Altánem 99/103, 100 00</w:t>
          </w:r>
          <w:r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 Praha 10</w:t>
          </w:r>
        </w:p>
      </w:tc>
      <w:tc>
        <w:tcPr>
          <w:tcW w:w="3123" w:type="dxa"/>
        </w:tcPr>
        <w:p w:rsidR="00D211DE" w:rsidRDefault="00D211DE">
          <w:pPr>
            <w:jc w:val="right"/>
            <w:rPr>
              <w:sz w:val="18"/>
            </w:rPr>
          </w:pPr>
        </w:p>
      </w:tc>
      <w:tc>
        <w:tcPr>
          <w:tcW w:w="3420" w:type="dxa"/>
        </w:tcPr>
        <w:p w:rsidR="00D211DE" w:rsidRPr="00BB07A6" w:rsidRDefault="00D211DE">
          <w:pPr>
            <w:jc w:val="right"/>
            <w:rPr>
              <w:bCs/>
              <w:color w:val="7F7F7F" w:themeColor="text1" w:themeTint="80"/>
              <w:spacing w:val="10"/>
              <w:sz w:val="16"/>
              <w:szCs w:val="16"/>
            </w:rPr>
          </w:pPr>
          <w:r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>tel.: +420 261263574</w:t>
          </w:r>
        </w:p>
        <w:p w:rsidR="00D211DE" w:rsidRPr="00BB07A6" w:rsidRDefault="00D211DE">
          <w:pPr>
            <w:jc w:val="right"/>
            <w:rPr>
              <w:bCs/>
              <w:color w:val="7F7F7F" w:themeColor="text1" w:themeTint="80"/>
              <w:spacing w:val="10"/>
              <w:sz w:val="16"/>
              <w:szCs w:val="16"/>
            </w:rPr>
          </w:pPr>
          <w:r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 xml:space="preserve">e-mail: </w:t>
          </w:r>
          <w:hyperlink r:id="rId1" w:history="1">
            <w:r w:rsidRPr="00BB07A6">
              <w:rPr>
                <w:bCs/>
                <w:color w:val="7F7F7F" w:themeColor="text1" w:themeTint="80"/>
                <w:spacing w:val="10"/>
                <w:sz w:val="16"/>
                <w:szCs w:val="16"/>
              </w:rPr>
              <w:t>normy@regio.cz</w:t>
            </w:r>
          </w:hyperlink>
          <w:r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 xml:space="preserve">; </w:t>
          </w:r>
          <w:hyperlink r:id="rId2" w:history="1">
            <w:r w:rsidRPr="00BB07A6">
              <w:rPr>
                <w:bCs/>
                <w:color w:val="7F7F7F" w:themeColor="text1" w:themeTint="80"/>
                <w:spacing w:val="10"/>
                <w:sz w:val="16"/>
                <w:szCs w:val="16"/>
              </w:rPr>
              <w:t>spotřebitel@regio.cz</w:t>
            </w:r>
          </w:hyperlink>
          <w:r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 xml:space="preserve">    </w:t>
          </w:r>
        </w:p>
        <w:p w:rsidR="00D211DE" w:rsidRPr="00BB07A6" w:rsidRDefault="004B0A6C" w:rsidP="004C7619">
          <w:pPr>
            <w:jc w:val="right"/>
            <w:rPr>
              <w:bCs/>
              <w:color w:val="7F7F7F" w:themeColor="text1" w:themeTint="80"/>
              <w:spacing w:val="10"/>
              <w:sz w:val="16"/>
              <w:szCs w:val="16"/>
            </w:rPr>
          </w:pPr>
          <w:hyperlink r:id="rId3" w:history="1">
            <w:r w:rsidR="00D211DE" w:rsidRPr="00BB07A6">
              <w:rPr>
                <w:bCs/>
                <w:color w:val="7F7F7F" w:themeColor="text1" w:themeTint="80"/>
                <w:spacing w:val="10"/>
                <w:sz w:val="16"/>
                <w:szCs w:val="16"/>
              </w:rPr>
              <w:t>www.top-normy.cz</w:t>
            </w:r>
          </w:hyperlink>
          <w:r w:rsidR="004C7619"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 xml:space="preserve">; </w:t>
          </w:r>
          <w:r w:rsidR="00D211DE" w:rsidRPr="00BB07A6">
            <w:rPr>
              <w:bCs/>
              <w:color w:val="7F7F7F" w:themeColor="text1" w:themeTint="80"/>
              <w:spacing w:val="10"/>
              <w:sz w:val="16"/>
              <w:szCs w:val="16"/>
            </w:rPr>
            <w:t>www.konzument.cz</w:t>
          </w:r>
        </w:p>
      </w:tc>
      <w:tc>
        <w:tcPr>
          <w:tcW w:w="1116" w:type="dxa"/>
          <w:vAlign w:val="center"/>
        </w:tcPr>
        <w:p w:rsidR="00D211DE" w:rsidRPr="00BB07A6" w:rsidRDefault="00D211DE">
          <w:pPr>
            <w:jc w:val="right"/>
            <w:rPr>
              <w:bCs/>
              <w:color w:val="7F7F7F" w:themeColor="text1" w:themeTint="80"/>
              <w:spacing w:val="10"/>
              <w:sz w:val="16"/>
              <w:szCs w:val="16"/>
            </w:rPr>
          </w:pPr>
        </w:p>
        <w:p w:rsidR="00D211DE" w:rsidRPr="00BB07A6" w:rsidRDefault="00D211DE">
          <w:pPr>
            <w:jc w:val="right"/>
            <w:rPr>
              <w:bCs/>
              <w:color w:val="7F7F7F" w:themeColor="text1" w:themeTint="80"/>
              <w:spacing w:val="10"/>
              <w:sz w:val="16"/>
              <w:szCs w:val="16"/>
            </w:rPr>
          </w:pPr>
        </w:p>
      </w:tc>
    </w:tr>
  </w:tbl>
  <w:p w:rsidR="00D211DE" w:rsidRDefault="00D211DE">
    <w:pPr>
      <w:pStyle w:val="Zp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3C" w:rsidRDefault="00CF46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6C" w:rsidRDefault="004B0A6C">
      <w:r>
        <w:separator/>
      </w:r>
    </w:p>
  </w:footnote>
  <w:footnote w:type="continuationSeparator" w:id="0">
    <w:p w:rsidR="004B0A6C" w:rsidRDefault="004B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3C" w:rsidRDefault="00CF46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Borders>
        <w:top w:val="single" w:sz="4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0"/>
      <w:gridCol w:w="4819"/>
    </w:tblGrid>
    <w:tr w:rsidR="00D211DE" w:rsidTr="00E6069E">
      <w:trPr>
        <w:trHeight w:val="977"/>
      </w:trPr>
      <w:tc>
        <w:tcPr>
          <w:tcW w:w="4890" w:type="dxa"/>
          <w:tcBorders>
            <w:top w:val="nil"/>
            <w:left w:val="nil"/>
            <w:bottom w:val="nil"/>
            <w:right w:val="nil"/>
          </w:tcBorders>
        </w:tcPr>
        <w:p w:rsidR="00D211DE" w:rsidRDefault="00F86228" w:rsidP="00E6069E">
          <w:r>
            <w:rPr>
              <w:noProof/>
            </w:rPr>
            <w:drawing>
              <wp:inline distT="0" distB="0" distL="0" distR="0" wp14:anchorId="42D6045A" wp14:editId="2771D327">
                <wp:extent cx="1666875" cy="704850"/>
                <wp:effectExtent l="0" t="0" r="9525" b="0"/>
                <wp:docPr id="1" name="obrázek 1" descr="logoKaStan_Cz_Fu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KaStan_Cz_Fu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:rsidR="00D211DE" w:rsidRPr="00E6069E" w:rsidRDefault="00CF463C" w:rsidP="00503D33">
          <w:pPr>
            <w:ind w:right="71"/>
            <w:jc w:val="right"/>
            <w:rPr>
              <w:sz w:val="8"/>
            </w:rPr>
          </w:pPr>
          <w:r>
            <w:rPr>
              <w:noProof/>
            </w:rPr>
            <w:drawing>
              <wp:inline distT="0" distB="0" distL="0" distR="0" wp14:anchorId="54BE4C91" wp14:editId="238C48DE">
                <wp:extent cx="2139456" cy="704850"/>
                <wp:effectExtent l="0" t="0" r="0" b="0"/>
                <wp:docPr id="3" name="Obrázek 3" descr="G:\_archive_ag_du_new_recon\_SCS\_Formul_Loga_etc\_Korekce 2014 -manual atd\SCS manual\office &amp; web\SCS_logotyp_hlavni\SCS_logotyp_hlavn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_archive_ag_du_new_recon\_SCS\_Formul_Loga_etc\_Korekce 2014 -manual atd\SCS manual\office &amp; web\SCS_logotyp_hlavni\SCS_logotyp_hlavn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456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11DE" w:rsidTr="00E6069E">
      <w:trPr>
        <w:trHeight w:val="80"/>
      </w:trPr>
      <w:tc>
        <w:tcPr>
          <w:tcW w:w="4890" w:type="dxa"/>
          <w:tcBorders>
            <w:top w:val="nil"/>
            <w:bottom w:val="single" w:sz="18" w:space="0" w:color="333399"/>
          </w:tcBorders>
        </w:tcPr>
        <w:p w:rsidR="00D211DE" w:rsidRDefault="00D211DE">
          <w:pPr>
            <w:spacing w:line="360" w:lineRule="auto"/>
            <w:rPr>
              <w:sz w:val="6"/>
            </w:rPr>
          </w:pPr>
        </w:p>
      </w:tc>
      <w:tc>
        <w:tcPr>
          <w:tcW w:w="4819" w:type="dxa"/>
          <w:tcBorders>
            <w:top w:val="nil"/>
            <w:bottom w:val="single" w:sz="18" w:space="0" w:color="333399"/>
          </w:tcBorders>
          <w:vAlign w:val="center"/>
        </w:tcPr>
        <w:p w:rsidR="00D211DE" w:rsidRDefault="00D211DE" w:rsidP="00CE30FE">
          <w:pPr>
            <w:ind w:right="-70"/>
            <w:jc w:val="right"/>
            <w:rPr>
              <w:sz w:val="8"/>
            </w:rPr>
          </w:pPr>
        </w:p>
      </w:tc>
    </w:tr>
  </w:tbl>
  <w:p w:rsidR="00D211DE" w:rsidRPr="00D211DE" w:rsidRDefault="00D211DE" w:rsidP="00E6069E">
    <w:pPr>
      <w:pStyle w:val="Zhlav"/>
      <w:tabs>
        <w:tab w:val="clear" w:pos="9072"/>
        <w:tab w:val="right" w:pos="9356"/>
      </w:tabs>
      <w:ind w:right="284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3C" w:rsidRDefault="00CF46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14D"/>
    <w:multiLevelType w:val="hybridMultilevel"/>
    <w:tmpl w:val="EB720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34323"/>
    <w:multiLevelType w:val="hybridMultilevel"/>
    <w:tmpl w:val="A59E48B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24B85"/>
    <w:multiLevelType w:val="hybridMultilevel"/>
    <w:tmpl w:val="F11C75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82820"/>
    <w:multiLevelType w:val="hybridMultilevel"/>
    <w:tmpl w:val="263AEC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B1164"/>
    <w:multiLevelType w:val="hybridMultilevel"/>
    <w:tmpl w:val="577803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AD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A5EBB"/>
    <w:multiLevelType w:val="hybridMultilevel"/>
    <w:tmpl w:val="F1E0C6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B149BD"/>
    <w:multiLevelType w:val="hybridMultilevel"/>
    <w:tmpl w:val="C978B8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C377A"/>
    <w:multiLevelType w:val="hybridMultilevel"/>
    <w:tmpl w:val="EAE27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A54AE"/>
    <w:multiLevelType w:val="hybridMultilevel"/>
    <w:tmpl w:val="B11C151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61B47"/>
    <w:multiLevelType w:val="hybridMultilevel"/>
    <w:tmpl w:val="36BC2FE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E02640"/>
    <w:multiLevelType w:val="hybridMultilevel"/>
    <w:tmpl w:val="909C2A9E"/>
    <w:lvl w:ilvl="0" w:tplc="A3E8AD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400AE7"/>
    <w:multiLevelType w:val="hybridMultilevel"/>
    <w:tmpl w:val="CB0058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7B2B0F"/>
    <w:multiLevelType w:val="hybridMultilevel"/>
    <w:tmpl w:val="5884234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A2A72"/>
    <w:multiLevelType w:val="hybridMultilevel"/>
    <w:tmpl w:val="F14C6F48"/>
    <w:lvl w:ilvl="0" w:tplc="120A6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260C3C"/>
    <w:multiLevelType w:val="hybridMultilevel"/>
    <w:tmpl w:val="06D688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329F3"/>
    <w:multiLevelType w:val="hybridMultilevel"/>
    <w:tmpl w:val="01DE1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4E73"/>
    <w:multiLevelType w:val="hybridMultilevel"/>
    <w:tmpl w:val="9E1C1B7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5439BF"/>
    <w:multiLevelType w:val="hybridMultilevel"/>
    <w:tmpl w:val="3628294C"/>
    <w:lvl w:ilvl="0" w:tplc="0756E14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>
    <w:nsid w:val="435727B9"/>
    <w:multiLevelType w:val="hybridMultilevel"/>
    <w:tmpl w:val="41445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1575EC"/>
    <w:multiLevelType w:val="hybridMultilevel"/>
    <w:tmpl w:val="E1064028"/>
    <w:lvl w:ilvl="0" w:tplc="058882EA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50A6A"/>
    <w:multiLevelType w:val="hybridMultilevel"/>
    <w:tmpl w:val="8FECC49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F82C76"/>
    <w:multiLevelType w:val="hybridMultilevel"/>
    <w:tmpl w:val="CC94F6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61BED"/>
    <w:multiLevelType w:val="hybridMultilevel"/>
    <w:tmpl w:val="F266B8E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64270222"/>
    <w:multiLevelType w:val="hybridMultilevel"/>
    <w:tmpl w:val="102A73F6"/>
    <w:lvl w:ilvl="0" w:tplc="07D03308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>
    <w:nsid w:val="681D624F"/>
    <w:multiLevelType w:val="hybridMultilevel"/>
    <w:tmpl w:val="2CA62D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B74216"/>
    <w:multiLevelType w:val="hybridMultilevel"/>
    <w:tmpl w:val="01DE13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0818CB"/>
    <w:multiLevelType w:val="hybridMultilevel"/>
    <w:tmpl w:val="B47ED4B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F57D2B"/>
    <w:multiLevelType w:val="hybridMultilevel"/>
    <w:tmpl w:val="4322BD1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1F6381"/>
    <w:multiLevelType w:val="hybridMultilevel"/>
    <w:tmpl w:val="F49A7036"/>
    <w:lvl w:ilvl="0" w:tplc="86B68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050EE"/>
    <w:multiLevelType w:val="hybridMultilevel"/>
    <w:tmpl w:val="F064C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4"/>
  </w:num>
  <w:num w:numId="5">
    <w:abstractNumId w:val="21"/>
  </w:num>
  <w:num w:numId="6">
    <w:abstractNumId w:val="17"/>
  </w:num>
  <w:num w:numId="7">
    <w:abstractNumId w:val="8"/>
  </w:num>
  <w:num w:numId="8">
    <w:abstractNumId w:val="29"/>
  </w:num>
  <w:num w:numId="9">
    <w:abstractNumId w:val="27"/>
  </w:num>
  <w:num w:numId="10">
    <w:abstractNumId w:val="5"/>
  </w:num>
  <w:num w:numId="11">
    <w:abstractNumId w:val="20"/>
  </w:num>
  <w:num w:numId="12">
    <w:abstractNumId w:val="16"/>
  </w:num>
  <w:num w:numId="13">
    <w:abstractNumId w:val="24"/>
  </w:num>
  <w:num w:numId="14">
    <w:abstractNumId w:val="6"/>
  </w:num>
  <w:num w:numId="15">
    <w:abstractNumId w:val="14"/>
  </w:num>
  <w:num w:numId="16">
    <w:abstractNumId w:val="11"/>
  </w:num>
  <w:num w:numId="17">
    <w:abstractNumId w:val="2"/>
  </w:num>
  <w:num w:numId="18">
    <w:abstractNumId w:val="26"/>
  </w:num>
  <w:num w:numId="19">
    <w:abstractNumId w:val="22"/>
  </w:num>
  <w:num w:numId="20">
    <w:abstractNumId w:val="9"/>
  </w:num>
  <w:num w:numId="21">
    <w:abstractNumId w:val="12"/>
  </w:num>
  <w:num w:numId="22">
    <w:abstractNumId w:val="23"/>
  </w:num>
  <w:num w:numId="23">
    <w:abstractNumId w:val="19"/>
  </w:num>
  <w:num w:numId="24">
    <w:abstractNumId w:val="28"/>
  </w:num>
  <w:num w:numId="25">
    <w:abstractNumId w:val="3"/>
  </w:num>
  <w:num w:numId="26">
    <w:abstractNumId w:val="7"/>
  </w:num>
  <w:num w:numId="27">
    <w:abstractNumId w:val="25"/>
  </w:num>
  <w:num w:numId="28">
    <w:abstractNumId w:val="15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CE"/>
    <w:rsid w:val="00000BBB"/>
    <w:rsid w:val="0001754E"/>
    <w:rsid w:val="000212DE"/>
    <w:rsid w:val="000433FD"/>
    <w:rsid w:val="000A1CBC"/>
    <w:rsid w:val="000E330A"/>
    <w:rsid w:val="00116459"/>
    <w:rsid w:val="001166A4"/>
    <w:rsid w:val="001400D9"/>
    <w:rsid w:val="00141082"/>
    <w:rsid w:val="001B0E0F"/>
    <w:rsid w:val="001D1BC9"/>
    <w:rsid w:val="00203D2D"/>
    <w:rsid w:val="00250C93"/>
    <w:rsid w:val="00277C59"/>
    <w:rsid w:val="00280435"/>
    <w:rsid w:val="002C3C7F"/>
    <w:rsid w:val="002D094E"/>
    <w:rsid w:val="00326DCA"/>
    <w:rsid w:val="0033327E"/>
    <w:rsid w:val="00333B8E"/>
    <w:rsid w:val="00343356"/>
    <w:rsid w:val="00363535"/>
    <w:rsid w:val="00365E2C"/>
    <w:rsid w:val="003A7D01"/>
    <w:rsid w:val="004179B6"/>
    <w:rsid w:val="00491EFD"/>
    <w:rsid w:val="004B0A6C"/>
    <w:rsid w:val="004C7619"/>
    <w:rsid w:val="00503D33"/>
    <w:rsid w:val="005138F2"/>
    <w:rsid w:val="005332C0"/>
    <w:rsid w:val="00544A87"/>
    <w:rsid w:val="00596128"/>
    <w:rsid w:val="005979AF"/>
    <w:rsid w:val="005B2F69"/>
    <w:rsid w:val="005D4460"/>
    <w:rsid w:val="005F40F3"/>
    <w:rsid w:val="0060473E"/>
    <w:rsid w:val="00662932"/>
    <w:rsid w:val="00664BF3"/>
    <w:rsid w:val="00687028"/>
    <w:rsid w:val="00691782"/>
    <w:rsid w:val="006F25CE"/>
    <w:rsid w:val="007E29FE"/>
    <w:rsid w:val="00815610"/>
    <w:rsid w:val="00876265"/>
    <w:rsid w:val="0089064E"/>
    <w:rsid w:val="008A3042"/>
    <w:rsid w:val="009360CB"/>
    <w:rsid w:val="00997132"/>
    <w:rsid w:val="009C2F19"/>
    <w:rsid w:val="009D73EA"/>
    <w:rsid w:val="00A102A2"/>
    <w:rsid w:val="00A50D21"/>
    <w:rsid w:val="00A56614"/>
    <w:rsid w:val="00AC6BA6"/>
    <w:rsid w:val="00AE6C43"/>
    <w:rsid w:val="00AF2662"/>
    <w:rsid w:val="00AF6E7B"/>
    <w:rsid w:val="00B2184E"/>
    <w:rsid w:val="00B311CE"/>
    <w:rsid w:val="00B8146A"/>
    <w:rsid w:val="00BB07A6"/>
    <w:rsid w:val="00BE61FF"/>
    <w:rsid w:val="00C02D2C"/>
    <w:rsid w:val="00C1067B"/>
    <w:rsid w:val="00C22D18"/>
    <w:rsid w:val="00C62AAE"/>
    <w:rsid w:val="00C74594"/>
    <w:rsid w:val="00C779CB"/>
    <w:rsid w:val="00CA4A78"/>
    <w:rsid w:val="00CE30FE"/>
    <w:rsid w:val="00CF463C"/>
    <w:rsid w:val="00D2042B"/>
    <w:rsid w:val="00D211DE"/>
    <w:rsid w:val="00D27474"/>
    <w:rsid w:val="00D36859"/>
    <w:rsid w:val="00D963D1"/>
    <w:rsid w:val="00DE34F8"/>
    <w:rsid w:val="00E05348"/>
    <w:rsid w:val="00E41C48"/>
    <w:rsid w:val="00E47C33"/>
    <w:rsid w:val="00E6069E"/>
    <w:rsid w:val="00F060CE"/>
    <w:rsid w:val="00F4375C"/>
    <w:rsid w:val="00F85065"/>
    <w:rsid w:val="00F86228"/>
    <w:rsid w:val="00FB58D2"/>
    <w:rsid w:val="00FC0FBE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100CA9-D557-48B7-9B3A-93889E05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BF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  <w:color w:val="333399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left="171" w:hanging="171"/>
    </w:pPr>
    <w:rPr>
      <w:rFonts w:ascii="Arial" w:hAnsi="Arial"/>
      <w:sz w:val="20"/>
    </w:rPr>
  </w:style>
  <w:style w:type="paragraph" w:styleId="Zkladntextodsazen">
    <w:name w:val="Body Text Indent"/>
    <w:basedOn w:val="Normln"/>
    <w:pPr>
      <w:ind w:left="228" w:hanging="228"/>
    </w:pPr>
    <w:rPr>
      <w:rFonts w:ascii="Arial" w:hAnsi="Arial"/>
      <w:sz w:val="20"/>
    </w:rPr>
  </w:style>
  <w:style w:type="paragraph" w:customStyle="1" w:styleId="Styl1">
    <w:name w:val="Styl1"/>
    <w:basedOn w:val="Normln"/>
    <w:rsid w:val="00664BF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50D21"/>
    <w:pPr>
      <w:ind w:left="708"/>
    </w:pPr>
  </w:style>
  <w:style w:type="paragraph" w:styleId="Textbubliny">
    <w:name w:val="Balloon Text"/>
    <w:basedOn w:val="Normln"/>
    <w:link w:val="TextbublinyChar"/>
    <w:rsid w:val="00BB0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07A6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D36859"/>
    <w:pPr>
      <w:widowControl w:val="0"/>
      <w:spacing w:line="288" w:lineRule="auto"/>
    </w:pPr>
    <w:rPr>
      <w:szCs w:val="20"/>
    </w:rPr>
  </w:style>
  <w:style w:type="paragraph" w:styleId="Normlnweb">
    <w:name w:val="Normal (Web)"/>
    <w:basedOn w:val="Normln"/>
    <w:unhideWhenUsed/>
    <w:rsid w:val="00D368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ivysilani/1097181328-udalosti/215411000100411/obsah/393443-nebezpecna-hriste" TargetMode="External"/><Relationship Id="rId13" Type="http://schemas.openxmlformats.org/officeDocument/2006/relationships/hyperlink" Target="http://www.overenehriste.cz" TargetMode="External"/><Relationship Id="rId18" Type="http://schemas.openxmlformats.org/officeDocument/2006/relationships/hyperlink" Target="mailto:dupal@regio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konzument.cz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konzument.cz/users/publications/10-top-normy/134-prirucka-spravne-praxe-pro-bezpecny-provoz-verejnych-zarizeni-pro-hry-a-sport-deti-a-mladez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pal@regio.c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eskatelevize.cz/ivysilani/1097181328-udalosti/215411000100411/obsah/393443-nebezpecna-hriste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overenehriste.cz/dokumenty/tiskoviny.php" TargetMode="External"/><Relationship Id="rId19" Type="http://schemas.openxmlformats.org/officeDocument/2006/relationships/hyperlink" Target="http://www.konzumen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televize.cz/ivysilani/1097181328-udalosti/215411000100411/obsah/393441-nebezpecna-hriste" TargetMode="External"/><Relationship Id="rId14" Type="http://schemas.openxmlformats.org/officeDocument/2006/relationships/hyperlink" Target="http://www.ceskatelevize.cz/ivysilani/1097181328-udalosti/215411000100411/obsah/393441-nebezpecna-hrist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p-normy.cz" TargetMode="External"/><Relationship Id="rId2" Type="http://schemas.openxmlformats.org/officeDocument/2006/relationships/hyperlink" Target="mailto:spot&#345;ebitel@regio.cz" TargetMode="External"/><Relationship Id="rId1" Type="http://schemas.openxmlformats.org/officeDocument/2006/relationships/hyperlink" Target="mailto:normy@regi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6FC0-6C30-4783-9DAA-E81BD22C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)</vt:lpstr>
    </vt:vector>
  </TitlesOfParts>
  <Company>SCS</Company>
  <LinksUpToDate>false</LinksUpToDate>
  <CharactersWithSpaces>6870</CharactersWithSpaces>
  <SharedDoc>false</SharedDoc>
  <HLinks>
    <vt:vector size="18" baseType="variant">
      <vt:variant>
        <vt:i4>393284</vt:i4>
      </vt:variant>
      <vt:variant>
        <vt:i4>11</vt:i4>
      </vt:variant>
      <vt:variant>
        <vt:i4>0</vt:i4>
      </vt:variant>
      <vt:variant>
        <vt:i4>5</vt:i4>
      </vt:variant>
      <vt:variant>
        <vt:lpwstr>http://www.top-normy.cz/</vt:lpwstr>
      </vt:variant>
      <vt:variant>
        <vt:lpwstr/>
      </vt:variant>
      <vt:variant>
        <vt:i4>21233733</vt:i4>
      </vt:variant>
      <vt:variant>
        <vt:i4>8</vt:i4>
      </vt:variant>
      <vt:variant>
        <vt:i4>0</vt:i4>
      </vt:variant>
      <vt:variant>
        <vt:i4>5</vt:i4>
      </vt:variant>
      <vt:variant>
        <vt:lpwstr>mailto:spotřebitel@regio.cz</vt:lpwstr>
      </vt:variant>
      <vt:variant>
        <vt:lpwstr/>
      </vt:variant>
      <vt:variant>
        <vt:i4>1966122</vt:i4>
      </vt:variant>
      <vt:variant>
        <vt:i4>5</vt:i4>
      </vt:variant>
      <vt:variant>
        <vt:i4>0</vt:i4>
      </vt:variant>
      <vt:variant>
        <vt:i4>5</vt:i4>
      </vt:variant>
      <vt:variant>
        <vt:lpwstr>mailto:normy@regio.cz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Libor Dupal</dc:creator>
  <cp:lastModifiedBy>libor dupal</cp:lastModifiedBy>
  <cp:revision>8</cp:revision>
  <cp:lastPrinted>2003-01-13T05:58:00Z</cp:lastPrinted>
  <dcterms:created xsi:type="dcterms:W3CDTF">2013-04-26T13:31:00Z</dcterms:created>
  <dcterms:modified xsi:type="dcterms:W3CDTF">2015-05-17T14:56:00Z</dcterms:modified>
</cp:coreProperties>
</file>