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24" w:rsidRPr="00557BD4" w:rsidRDefault="00557BD4" w:rsidP="00CC5F08">
      <w:pPr>
        <w:rPr>
          <w:b/>
          <w:sz w:val="22"/>
        </w:rPr>
      </w:pPr>
      <w:r w:rsidRPr="00557BD4">
        <w:rPr>
          <w:b/>
          <w:sz w:val="22"/>
        </w:rPr>
        <w:t xml:space="preserve">Komentář </w:t>
      </w:r>
    </w:p>
    <w:p w:rsidR="00557BD4" w:rsidRDefault="00557BD4" w:rsidP="00557BD4">
      <w:pPr>
        <w:pStyle w:val="Normlnweb"/>
        <w:spacing w:before="0" w:beforeAutospacing="0" w:after="0" w:afterAutospacing="0"/>
        <w:ind w:right="-426"/>
        <w:rPr>
          <w:sz w:val="22"/>
        </w:rPr>
      </w:pPr>
      <w:r w:rsidRPr="00557BD4">
        <w:rPr>
          <w:sz w:val="22"/>
        </w:rPr>
        <w:t>Libor Dupal, ředitel SČS</w:t>
      </w:r>
    </w:p>
    <w:p w:rsidR="00560A0E" w:rsidRPr="00557BD4" w:rsidRDefault="00560A0E" w:rsidP="00557BD4">
      <w:pPr>
        <w:pStyle w:val="Normlnweb"/>
        <w:spacing w:before="0" w:beforeAutospacing="0" w:after="0" w:afterAutospacing="0"/>
        <w:ind w:right="-426"/>
        <w:rPr>
          <w:sz w:val="22"/>
        </w:rPr>
      </w:pPr>
    </w:p>
    <w:p w:rsidR="00557BD4" w:rsidRDefault="00557BD4" w:rsidP="00557BD4">
      <w:pPr>
        <w:jc w:val="center"/>
        <w:outlineLvl w:val="0"/>
        <w:rPr>
          <w:b/>
        </w:rPr>
      </w:pPr>
      <w:r>
        <w:rPr>
          <w:b/>
        </w:rPr>
        <w:t xml:space="preserve">EVROPSKÁ REGULACE KARTOVÝCH POPLATKŮ </w:t>
      </w:r>
      <w:r>
        <w:rPr>
          <w:b/>
        </w:rPr>
        <w:t>ZAVRŠENA</w:t>
      </w:r>
    </w:p>
    <w:p w:rsidR="00560A0E" w:rsidRDefault="00560A0E" w:rsidP="00557BD4">
      <w:pPr>
        <w:jc w:val="center"/>
        <w:outlineLvl w:val="0"/>
        <w:rPr>
          <w:b/>
        </w:rPr>
      </w:pPr>
    </w:p>
    <w:p w:rsidR="00557BD4" w:rsidRDefault="00557BD4" w:rsidP="00557BD4">
      <w:pPr>
        <w:spacing w:after="120"/>
        <w:jc w:val="both"/>
        <w:rPr>
          <w:sz w:val="22"/>
        </w:rPr>
      </w:pPr>
      <w:r w:rsidRPr="00557BD4">
        <w:rPr>
          <w:sz w:val="22"/>
        </w:rPr>
        <w:t>V průběhu nejméně d</w:t>
      </w:r>
      <w:r>
        <w:rPr>
          <w:sz w:val="22"/>
        </w:rPr>
        <w:t xml:space="preserve">vou let jsme sledovali jeden z </w:t>
      </w:r>
      <w:r w:rsidR="006440E1">
        <w:rPr>
          <w:sz w:val="22"/>
        </w:rPr>
        <w:t>řady</w:t>
      </w:r>
      <w:r>
        <w:rPr>
          <w:sz w:val="22"/>
        </w:rPr>
        <w:t xml:space="preserve"> </w:t>
      </w:r>
      <w:r w:rsidR="006440E1">
        <w:rPr>
          <w:sz w:val="22"/>
        </w:rPr>
        <w:t xml:space="preserve">regulativních </w:t>
      </w:r>
      <w:r>
        <w:rPr>
          <w:sz w:val="22"/>
        </w:rPr>
        <w:t xml:space="preserve">procesů </w:t>
      </w:r>
      <w:r w:rsidR="006440E1">
        <w:rPr>
          <w:sz w:val="22"/>
        </w:rPr>
        <w:t xml:space="preserve">vedených </w:t>
      </w:r>
      <w:r>
        <w:rPr>
          <w:sz w:val="22"/>
        </w:rPr>
        <w:t xml:space="preserve">na evropské úrovni. Jedná se o </w:t>
      </w:r>
      <w:r>
        <w:rPr>
          <w:sz w:val="22"/>
        </w:rPr>
        <w:t xml:space="preserve">regulaci </w:t>
      </w:r>
      <w:r w:rsidRPr="00B75020">
        <w:rPr>
          <w:b/>
          <w:sz w:val="22"/>
        </w:rPr>
        <w:t>mnohostranných poplatků</w:t>
      </w:r>
      <w:r>
        <w:rPr>
          <w:b/>
          <w:sz w:val="22"/>
        </w:rPr>
        <w:t xml:space="preserve"> za platby kartou.</w:t>
      </w:r>
      <w:r>
        <w:rPr>
          <w:b/>
          <w:sz w:val="22"/>
        </w:rPr>
        <w:t xml:space="preserve"> </w:t>
      </w:r>
      <w:r>
        <w:rPr>
          <w:sz w:val="22"/>
        </w:rPr>
        <w:t>V minulém týdnu byl proces završen přijetím návrhu v Evropském parlamentu.</w:t>
      </w:r>
    </w:p>
    <w:p w:rsidR="00FA1790" w:rsidRPr="00FA1790" w:rsidRDefault="004918C2" w:rsidP="00557BD4">
      <w:pPr>
        <w:spacing w:after="120"/>
        <w:jc w:val="both"/>
        <w:rPr>
          <w:sz w:val="22"/>
        </w:rPr>
      </w:pPr>
      <w:r>
        <w:rPr>
          <w:sz w:val="22"/>
        </w:rPr>
        <w:t>Konfliktním bodem přijaté regulace v průběhu jejího projednávání bylo</w:t>
      </w:r>
      <w:r>
        <w:rPr>
          <w:sz w:val="22"/>
        </w:rPr>
        <w:t xml:space="preserve"> </w:t>
      </w:r>
      <w:r>
        <w:rPr>
          <w:sz w:val="22"/>
        </w:rPr>
        <w:t>zejména jednotné „</w:t>
      </w:r>
      <w:proofErr w:type="spellStart"/>
      <w:r w:rsidRPr="008B5C75">
        <w:rPr>
          <w:sz w:val="22"/>
        </w:rPr>
        <w:t>zastropován</w:t>
      </w:r>
      <w:r>
        <w:rPr>
          <w:sz w:val="22"/>
        </w:rPr>
        <w:t>í</w:t>
      </w:r>
      <w:proofErr w:type="spellEnd"/>
      <w:r>
        <w:rPr>
          <w:sz w:val="22"/>
        </w:rPr>
        <w:t xml:space="preserve">“ </w:t>
      </w:r>
      <w:r w:rsidR="00557BD4">
        <w:rPr>
          <w:sz w:val="22"/>
        </w:rPr>
        <w:t>p</w:t>
      </w:r>
      <w:r w:rsidR="00557BD4" w:rsidRPr="008B5C75">
        <w:rPr>
          <w:sz w:val="22"/>
        </w:rPr>
        <w:t>oplatk</w:t>
      </w:r>
      <w:r>
        <w:rPr>
          <w:sz w:val="22"/>
        </w:rPr>
        <w:t>ů</w:t>
      </w:r>
      <w:r w:rsidR="00557BD4" w:rsidRPr="008B5C75">
        <w:rPr>
          <w:sz w:val="22"/>
        </w:rPr>
        <w:t>, které banky účtují za zpracování transakcí platebními kartami</w:t>
      </w:r>
      <w:r>
        <w:rPr>
          <w:sz w:val="22"/>
        </w:rPr>
        <w:t>.</w:t>
      </w:r>
      <w:r w:rsidR="00FA1790">
        <w:rPr>
          <w:sz w:val="22"/>
        </w:rPr>
        <w:t xml:space="preserve"> (</w:t>
      </w:r>
      <w:r w:rsidR="00A13995">
        <w:rPr>
          <w:sz w:val="22"/>
        </w:rPr>
        <w:t>Nově: p</w:t>
      </w:r>
      <w:r w:rsidR="00FA1790">
        <w:rPr>
          <w:bCs/>
          <w:sz w:val="22"/>
        </w:rPr>
        <w:t xml:space="preserve">ro platby </w:t>
      </w:r>
      <w:r w:rsidR="00FA1790" w:rsidRPr="00FA1790">
        <w:rPr>
          <w:bCs/>
          <w:sz w:val="22"/>
        </w:rPr>
        <w:t>debetními kartami bude strop 0,2 procenta z placené částky, u transakcí kreditními kartami 0,3 procenta</w:t>
      </w:r>
      <w:r w:rsidR="00FA1790">
        <w:rPr>
          <w:bCs/>
          <w:sz w:val="22"/>
        </w:rPr>
        <w:t xml:space="preserve">, přitom horní limit se </w:t>
      </w:r>
      <w:r w:rsidR="00FA1790" w:rsidRPr="00FA1790">
        <w:rPr>
          <w:bCs/>
          <w:sz w:val="22"/>
        </w:rPr>
        <w:t xml:space="preserve">bude týkat jak </w:t>
      </w:r>
      <w:r w:rsidR="00FA1790" w:rsidRPr="00FA1790">
        <w:rPr>
          <w:bCs/>
          <w:sz w:val="22"/>
        </w:rPr>
        <w:t>domácích</w:t>
      </w:r>
      <w:r w:rsidR="00FA1790">
        <w:rPr>
          <w:bCs/>
          <w:sz w:val="22"/>
        </w:rPr>
        <w:t xml:space="preserve">, tak </w:t>
      </w:r>
      <w:r w:rsidR="00FA1790" w:rsidRPr="00FA1790">
        <w:rPr>
          <w:bCs/>
          <w:sz w:val="22"/>
        </w:rPr>
        <w:t>přeshraničních plateb kartou</w:t>
      </w:r>
      <w:r w:rsidR="00FA1790">
        <w:rPr>
          <w:bCs/>
          <w:sz w:val="22"/>
        </w:rPr>
        <w:t>.)</w:t>
      </w:r>
    </w:p>
    <w:p w:rsidR="004918C2" w:rsidRDefault="004918C2" w:rsidP="00557BD4">
      <w:pPr>
        <w:spacing w:after="120"/>
        <w:jc w:val="both"/>
        <w:rPr>
          <w:sz w:val="22"/>
        </w:rPr>
      </w:pPr>
      <w:r>
        <w:rPr>
          <w:sz w:val="22"/>
        </w:rPr>
        <w:t>„</w:t>
      </w:r>
      <w:r w:rsidR="00557BD4">
        <w:rPr>
          <w:sz w:val="22"/>
        </w:rPr>
        <w:t>To učiní trh transparentní</w:t>
      </w:r>
      <w:r w:rsidR="00FA1790">
        <w:rPr>
          <w:sz w:val="22"/>
        </w:rPr>
        <w:t>m</w:t>
      </w:r>
      <w:r w:rsidR="00557BD4">
        <w:rPr>
          <w:sz w:val="22"/>
        </w:rPr>
        <w:t xml:space="preserve"> a p</w:t>
      </w:r>
      <w:r w:rsidR="00557BD4" w:rsidRPr="008B5C75">
        <w:rPr>
          <w:sz w:val="22"/>
        </w:rPr>
        <w:t>ostupně by nižší poplatky měly vést k nižším cenám pro uživatele karet</w:t>
      </w:r>
      <w:r w:rsidR="00557BD4">
        <w:rPr>
          <w:sz w:val="22"/>
        </w:rPr>
        <w:t>“, zdůvodň</w:t>
      </w:r>
      <w:r>
        <w:rPr>
          <w:sz w:val="22"/>
        </w:rPr>
        <w:t>ovala</w:t>
      </w:r>
      <w:r w:rsidR="00557BD4">
        <w:rPr>
          <w:sz w:val="22"/>
        </w:rPr>
        <w:t xml:space="preserve"> svoji iniciativu </w:t>
      </w:r>
      <w:r w:rsidR="00FA1790">
        <w:rPr>
          <w:sz w:val="22"/>
        </w:rPr>
        <w:t>Evropská komise</w:t>
      </w:r>
      <w:r w:rsidR="00557BD4">
        <w:rPr>
          <w:sz w:val="22"/>
        </w:rPr>
        <w:t>.</w:t>
      </w:r>
      <w:r>
        <w:rPr>
          <w:sz w:val="22"/>
        </w:rPr>
        <w:t xml:space="preserve"> A aktuálně je dokonce tato úspora pro spotřebitele vyjádřena v konkrétních číslech: prý </w:t>
      </w:r>
      <w:r w:rsidRPr="004918C2">
        <w:rPr>
          <w:sz w:val="22"/>
        </w:rPr>
        <w:t>má</w:t>
      </w:r>
      <w:r>
        <w:rPr>
          <w:sz w:val="22"/>
        </w:rPr>
        <w:t xml:space="preserve"> o</w:t>
      </w:r>
      <w:r w:rsidRPr="004918C2">
        <w:rPr>
          <w:sz w:val="22"/>
        </w:rPr>
        <w:t xml:space="preserve">mezení poplatků přinést </w:t>
      </w:r>
      <w:r>
        <w:rPr>
          <w:sz w:val="22"/>
        </w:rPr>
        <w:t>„</w:t>
      </w:r>
      <w:r w:rsidRPr="004918C2">
        <w:rPr>
          <w:sz w:val="22"/>
        </w:rPr>
        <w:t>roční úsporu 730 milionů eur (20 miliard korun) na straně spotřebitelů a šest miliard eur (163,6 miliardy korun) na straně obchodníků</w:t>
      </w:r>
      <w:r>
        <w:rPr>
          <w:sz w:val="22"/>
        </w:rPr>
        <w:t>“</w:t>
      </w:r>
      <w:r w:rsidRPr="004918C2">
        <w:rPr>
          <w:sz w:val="22"/>
        </w:rPr>
        <w:t>.</w:t>
      </w:r>
      <w:r>
        <w:rPr>
          <w:sz w:val="22"/>
        </w:rPr>
        <w:t xml:space="preserve"> Za obchodníky se vyjadřovat nebudu, ostatně </w:t>
      </w:r>
      <w:r w:rsidR="006440E1">
        <w:rPr>
          <w:sz w:val="22"/>
        </w:rPr>
        <w:t xml:space="preserve">zřejmě </w:t>
      </w:r>
      <w:r>
        <w:rPr>
          <w:sz w:val="22"/>
        </w:rPr>
        <w:t xml:space="preserve">oni regulaci </w:t>
      </w:r>
      <w:r w:rsidR="00C61085">
        <w:rPr>
          <w:sz w:val="22"/>
        </w:rPr>
        <w:t xml:space="preserve">úspěšně </w:t>
      </w:r>
      <w:proofErr w:type="spellStart"/>
      <w:r>
        <w:rPr>
          <w:sz w:val="22"/>
        </w:rPr>
        <w:t>vylobovali</w:t>
      </w:r>
      <w:proofErr w:type="spellEnd"/>
      <w:r w:rsidR="00FA1790">
        <w:rPr>
          <w:sz w:val="22"/>
        </w:rPr>
        <w:t xml:space="preserve"> (a pochybuji, že ze svého „krajíce“ dají spotřebiteli množství více než malé). </w:t>
      </w:r>
      <w:r>
        <w:rPr>
          <w:sz w:val="22"/>
        </w:rPr>
        <w:t>I některé spotřebitelské asociace regulac</w:t>
      </w:r>
      <w:r w:rsidR="006440E1">
        <w:rPr>
          <w:sz w:val="22"/>
        </w:rPr>
        <w:t>i</w:t>
      </w:r>
      <w:r>
        <w:rPr>
          <w:sz w:val="22"/>
        </w:rPr>
        <w:t xml:space="preserve"> poplatků podpořily (ostatně ony často podporují každou regulaci), </w:t>
      </w:r>
      <w:r w:rsidR="00FA1790">
        <w:rPr>
          <w:sz w:val="22"/>
        </w:rPr>
        <w:t>avšak</w:t>
      </w:r>
      <w:r>
        <w:rPr>
          <w:sz w:val="22"/>
        </w:rPr>
        <w:t xml:space="preserve"> neiniciovaly ji.</w:t>
      </w:r>
    </w:p>
    <w:p w:rsidR="00C61085" w:rsidRDefault="00C61085" w:rsidP="00557BD4">
      <w:pPr>
        <w:spacing w:after="120"/>
        <w:jc w:val="both"/>
        <w:rPr>
          <w:sz w:val="22"/>
        </w:rPr>
      </w:pPr>
      <w:r>
        <w:rPr>
          <w:sz w:val="22"/>
        </w:rPr>
        <w:t xml:space="preserve">Předjímaná úspora pro spotřebitele zní přesvědčivě. Kdo by nechtěl 20 miliard korun. Jen </w:t>
      </w:r>
      <w:r w:rsidR="00FA1790">
        <w:rPr>
          <w:sz w:val="22"/>
        </w:rPr>
        <w:t xml:space="preserve">zcela </w:t>
      </w:r>
      <w:r>
        <w:rPr>
          <w:sz w:val="22"/>
        </w:rPr>
        <w:t>nepatrná částka z toho by z našeho sdružení (SČS) učinila skutečně nezávislou organizaci, hlavně na ministerstvech, kde už bychom nemuseli žebrat. Napadlo mě, že bychom se všichni zaměstnanci sdružení (=</w:t>
      </w:r>
      <w:r w:rsidR="00DC407E">
        <w:rPr>
          <w:sz w:val="22"/>
        </w:rPr>
        <w:t xml:space="preserve"> </w:t>
      </w:r>
      <w:r>
        <w:rPr>
          <w:sz w:val="22"/>
        </w:rPr>
        <w:t xml:space="preserve">5) složili a svoji roční úsporu </w:t>
      </w:r>
      <w:r w:rsidR="00DC407E">
        <w:rPr>
          <w:sz w:val="22"/>
        </w:rPr>
        <w:t>za platby kartou věnovali sdružení. Nu, mohli bychom to učinit bez důsledků a dopadů na rodinný rozpočet každého z</w:t>
      </w:r>
      <w:r w:rsidR="00FA1790">
        <w:rPr>
          <w:sz w:val="22"/>
        </w:rPr>
        <w:t> </w:t>
      </w:r>
      <w:r w:rsidR="00DC407E">
        <w:rPr>
          <w:sz w:val="22"/>
        </w:rPr>
        <w:t>nás</w:t>
      </w:r>
      <w:r w:rsidR="00FA1790">
        <w:rPr>
          <w:sz w:val="22"/>
        </w:rPr>
        <w:t>;</w:t>
      </w:r>
      <w:r w:rsidR="00DC407E">
        <w:rPr>
          <w:sz w:val="22"/>
        </w:rPr>
        <w:t xml:space="preserve"> dali bychom totiž dohromady pět Euro. Ano – </w:t>
      </w:r>
      <w:r w:rsidR="00FA1790">
        <w:rPr>
          <w:sz w:val="22"/>
        </w:rPr>
        <w:t xml:space="preserve">dle EK </w:t>
      </w:r>
      <w:r w:rsidR="00FA1790">
        <w:rPr>
          <w:sz w:val="22"/>
        </w:rPr>
        <w:t xml:space="preserve">připadne </w:t>
      </w:r>
      <w:r w:rsidR="00DC407E">
        <w:rPr>
          <w:sz w:val="22"/>
        </w:rPr>
        <w:t xml:space="preserve">na každého obyvatele Evropy roční úspora ze zavedené </w:t>
      </w:r>
      <w:r w:rsidR="00FA1790">
        <w:rPr>
          <w:sz w:val="22"/>
        </w:rPr>
        <w:t xml:space="preserve">této </w:t>
      </w:r>
      <w:r w:rsidR="00DC407E">
        <w:rPr>
          <w:sz w:val="22"/>
        </w:rPr>
        <w:t>regulace 1 Euro. Divíte se, že se Evropská komise, předkladatel schváleného návrhu, nestydí</w:t>
      </w:r>
      <w:r w:rsidR="006440E1">
        <w:rPr>
          <w:sz w:val="22"/>
        </w:rPr>
        <w:t xml:space="preserve"> prezentovat takovéto závěry studií, pořízených za veliké peníze</w:t>
      </w:r>
      <w:r w:rsidR="00DC407E">
        <w:rPr>
          <w:sz w:val="22"/>
        </w:rPr>
        <w:t>?</w:t>
      </w:r>
    </w:p>
    <w:p w:rsidR="00557BD4" w:rsidRDefault="00DC407E" w:rsidP="00557BD4">
      <w:pPr>
        <w:spacing w:after="120"/>
        <w:jc w:val="both"/>
        <w:rPr>
          <w:sz w:val="22"/>
        </w:rPr>
      </w:pPr>
      <w:r>
        <w:rPr>
          <w:sz w:val="22"/>
        </w:rPr>
        <w:t>Ale neradujme se předčasně. Ani toto jedno Euro nám na účet nikdo nepošle. V dů</w:t>
      </w:r>
      <w:r w:rsidR="00557BD4">
        <w:rPr>
          <w:sz w:val="22"/>
        </w:rPr>
        <w:t xml:space="preserve">sledku </w:t>
      </w:r>
      <w:r w:rsidR="00FA1790">
        <w:rPr>
          <w:sz w:val="22"/>
        </w:rPr>
        <w:t xml:space="preserve">zavedených opatření </w:t>
      </w:r>
      <w:r w:rsidR="00557BD4">
        <w:rPr>
          <w:sz w:val="22"/>
        </w:rPr>
        <w:t xml:space="preserve">se regulované poplatky (nižší výnosy pro kartové operátory a banky) přenesou zvýšením nákladů za pořízení a držení karet na držitele karet - spotřebitele. Svědčí o tom zkušenosti ze zemí, kde k určité formě regulace poplatků </w:t>
      </w:r>
      <w:r>
        <w:rPr>
          <w:sz w:val="22"/>
        </w:rPr>
        <w:t xml:space="preserve">v minulých 10 až 15 let </w:t>
      </w:r>
      <w:r w:rsidR="00557BD4">
        <w:rPr>
          <w:sz w:val="22"/>
        </w:rPr>
        <w:t>došlo.</w:t>
      </w:r>
    </w:p>
    <w:p w:rsidR="00A13995" w:rsidRDefault="00A13995" w:rsidP="00557BD4">
      <w:pPr>
        <w:spacing w:after="120"/>
        <w:jc w:val="both"/>
        <w:rPr>
          <w:sz w:val="22"/>
        </w:rPr>
      </w:pPr>
      <w:r>
        <w:rPr>
          <w:sz w:val="22"/>
        </w:rPr>
        <w:t xml:space="preserve">Na tento problém, totiž nepříznivý dopad této regulace na spotřebitele </w:t>
      </w:r>
      <w:proofErr w:type="gramStart"/>
      <w:r>
        <w:rPr>
          <w:sz w:val="22"/>
        </w:rPr>
        <w:t>jsme</w:t>
      </w:r>
      <w:proofErr w:type="gramEnd"/>
      <w:r>
        <w:rPr>
          <w:sz w:val="22"/>
        </w:rPr>
        <w:t xml:space="preserve"> opakovaně </w:t>
      </w:r>
      <w:proofErr w:type="gramStart"/>
      <w:r>
        <w:rPr>
          <w:sz w:val="22"/>
        </w:rPr>
        <w:t>upozorňoval</w:t>
      </w:r>
      <w:proofErr w:type="gramEnd"/>
      <w:r w:rsidR="006440E1">
        <w:rPr>
          <w:sz w:val="22"/>
        </w:rPr>
        <w:t>;</w:t>
      </w:r>
      <w:r>
        <w:rPr>
          <w:sz w:val="22"/>
        </w:rPr>
        <w:t xml:space="preserve"> jak vidno – neúspěšně.</w:t>
      </w:r>
    </w:p>
    <w:p w:rsidR="001200D6" w:rsidRDefault="001200D6" w:rsidP="001200D6">
      <w:pPr>
        <w:spacing w:after="120"/>
        <w:jc w:val="both"/>
        <w:rPr>
          <w:sz w:val="22"/>
        </w:rPr>
      </w:pPr>
      <w:r>
        <w:rPr>
          <w:sz w:val="22"/>
        </w:rPr>
        <w:t xml:space="preserve">V zaváděné regulaci spatřuji i další problém. </w:t>
      </w:r>
      <w:r w:rsidRPr="001200D6">
        <w:rPr>
          <w:sz w:val="22"/>
        </w:rPr>
        <w:t xml:space="preserve">V současnosti jsou obchodníci často nuceni </w:t>
      </w:r>
      <w:r>
        <w:rPr>
          <w:sz w:val="22"/>
        </w:rPr>
        <w:t xml:space="preserve">(chudáci!) </w:t>
      </w:r>
      <w:r w:rsidRPr="001200D6">
        <w:rPr>
          <w:sz w:val="22"/>
        </w:rPr>
        <w:t>přijímat všechny karty za podmínek</w:t>
      </w:r>
      <w:r>
        <w:rPr>
          <w:sz w:val="22"/>
        </w:rPr>
        <w:t xml:space="preserve"> </w:t>
      </w:r>
      <w:r w:rsidRPr="001200D6">
        <w:rPr>
          <w:sz w:val="22"/>
        </w:rPr>
        <w:t>stanovených jejími vydavateli. Na základě nových pravidel budou obchodníci, kteří si zvolí</w:t>
      </w:r>
      <w:r>
        <w:rPr>
          <w:sz w:val="22"/>
        </w:rPr>
        <w:t xml:space="preserve"> </w:t>
      </w:r>
      <w:r w:rsidRPr="001200D6">
        <w:rPr>
          <w:sz w:val="22"/>
        </w:rPr>
        <w:t xml:space="preserve">určité schéma platebních karet, </w:t>
      </w:r>
      <w:r w:rsidR="006440E1">
        <w:rPr>
          <w:sz w:val="22"/>
        </w:rPr>
        <w:t>povinni</w:t>
      </w:r>
      <w:r w:rsidRPr="001200D6">
        <w:rPr>
          <w:sz w:val="22"/>
        </w:rPr>
        <w:t xml:space="preserve"> přijímat pouze platební karty v rámci daného</w:t>
      </w:r>
      <w:r>
        <w:rPr>
          <w:sz w:val="22"/>
        </w:rPr>
        <w:t xml:space="preserve"> </w:t>
      </w:r>
      <w:r w:rsidRPr="001200D6">
        <w:rPr>
          <w:sz w:val="22"/>
        </w:rPr>
        <w:t xml:space="preserve">schématu, které podléhají pravidlům pro </w:t>
      </w:r>
      <w:proofErr w:type="spellStart"/>
      <w:r w:rsidRPr="001200D6">
        <w:rPr>
          <w:sz w:val="22"/>
        </w:rPr>
        <w:t>zastropování</w:t>
      </w:r>
      <w:proofErr w:type="spellEnd"/>
      <w:r w:rsidRPr="001200D6">
        <w:rPr>
          <w:sz w:val="22"/>
        </w:rPr>
        <w:t xml:space="preserve"> poplatků. V případě, že se</w:t>
      </w:r>
      <w:r>
        <w:rPr>
          <w:sz w:val="22"/>
        </w:rPr>
        <w:t xml:space="preserve"> </w:t>
      </w:r>
      <w:r w:rsidRPr="001200D6">
        <w:rPr>
          <w:sz w:val="22"/>
        </w:rPr>
        <w:t>rozhodnou tohoto práva využít, budou nakupující moci platit u nich jen omezeným</w:t>
      </w:r>
      <w:r>
        <w:rPr>
          <w:sz w:val="22"/>
        </w:rPr>
        <w:t xml:space="preserve"> </w:t>
      </w:r>
      <w:r w:rsidRPr="001200D6">
        <w:rPr>
          <w:sz w:val="22"/>
        </w:rPr>
        <w:t>počtem karet</w:t>
      </w:r>
      <w:r>
        <w:rPr>
          <w:sz w:val="22"/>
        </w:rPr>
        <w:t>. Dle vysvětlení EK</w:t>
      </w:r>
      <w:r w:rsidRPr="001200D6">
        <w:rPr>
          <w:sz w:val="22"/>
        </w:rPr>
        <w:t xml:space="preserve"> by nižší poplatky měly snížit náklady jak pro obchodníky</w:t>
      </w:r>
      <w:r>
        <w:rPr>
          <w:sz w:val="22"/>
        </w:rPr>
        <w:t xml:space="preserve"> (o tom jaksi nepochybuji)</w:t>
      </w:r>
      <w:r w:rsidRPr="001200D6">
        <w:rPr>
          <w:sz w:val="22"/>
        </w:rPr>
        <w:t>, tak</w:t>
      </w:r>
      <w:r>
        <w:rPr>
          <w:sz w:val="22"/>
        </w:rPr>
        <w:t xml:space="preserve"> </w:t>
      </w:r>
      <w:r w:rsidRPr="001200D6">
        <w:rPr>
          <w:sz w:val="22"/>
        </w:rPr>
        <w:t>nakupující</w:t>
      </w:r>
      <w:r>
        <w:rPr>
          <w:sz w:val="22"/>
        </w:rPr>
        <w:t xml:space="preserve"> (</w:t>
      </w:r>
      <w:proofErr w:type="spellStart"/>
      <w:r>
        <w:rPr>
          <w:sz w:val="22"/>
        </w:rPr>
        <w:t>haha</w:t>
      </w:r>
      <w:proofErr w:type="spellEnd"/>
      <w:r>
        <w:rPr>
          <w:sz w:val="22"/>
        </w:rPr>
        <w:t xml:space="preserve"> – viz výše)</w:t>
      </w:r>
      <w:r w:rsidRPr="001200D6">
        <w:rPr>
          <w:sz w:val="22"/>
        </w:rPr>
        <w:t>.</w:t>
      </w:r>
    </w:p>
    <w:p w:rsidR="00560A0E" w:rsidRDefault="00DC407E" w:rsidP="00557BD4">
      <w:pPr>
        <w:spacing w:after="120"/>
        <w:jc w:val="both"/>
        <w:rPr>
          <w:sz w:val="22"/>
        </w:rPr>
      </w:pPr>
      <w:r>
        <w:rPr>
          <w:sz w:val="22"/>
        </w:rPr>
        <w:t>Schválený text směrnice, který zřejmě již jen formálně odsouhlasí Rada ministrů členských zemí, ovšem zahrnuje některá ustanovení, která jako spotřebitelé neodmítáme.</w:t>
      </w:r>
      <w:r w:rsidR="00A13995">
        <w:rPr>
          <w:sz w:val="22"/>
        </w:rPr>
        <w:t xml:space="preserve"> </w:t>
      </w:r>
      <w:r w:rsidR="00560A0E" w:rsidRPr="00560A0E">
        <w:rPr>
          <w:sz w:val="22"/>
        </w:rPr>
        <w:t>"S dostatečným časovým předstihem před podpisem smlouvy dodá poskytovatel platebních služeb spotřebiteli jasné a objektivní informace o všech dostupných značkách platebních schémat i o jejich charakteristických rysech, včetně rozsahu funkcí, nákladů a bezpečnosti," stanoví mimo jiné směrnice.</w:t>
      </w:r>
      <w:r w:rsidR="00560A0E">
        <w:rPr>
          <w:sz w:val="22"/>
        </w:rPr>
        <w:t xml:space="preserve"> Příště, když si půjdeme </w:t>
      </w:r>
      <w:r w:rsidR="00560A0E">
        <w:rPr>
          <w:sz w:val="22"/>
        </w:rPr>
        <w:lastRenderedPageBreak/>
        <w:t xml:space="preserve">koupit Forda, prodejce nás bude muset podrobně informovat o </w:t>
      </w:r>
      <w:r w:rsidR="006440E1">
        <w:rPr>
          <w:sz w:val="22"/>
        </w:rPr>
        <w:t>všech přednostech</w:t>
      </w:r>
      <w:r w:rsidR="00560A0E">
        <w:rPr>
          <w:sz w:val="22"/>
        </w:rPr>
        <w:t xml:space="preserve"> Toyoty. Spotřebitel se má prostě v Evropě </w:t>
      </w:r>
      <w:bookmarkStart w:id="0" w:name="_GoBack"/>
      <w:bookmarkEnd w:id="0"/>
      <w:r w:rsidR="00560A0E">
        <w:rPr>
          <w:sz w:val="22"/>
        </w:rPr>
        <w:t>dobře. Proč si tedy pořád stěžujeme.</w:t>
      </w:r>
    </w:p>
    <w:p w:rsidR="00557BD4" w:rsidRPr="009759C5" w:rsidRDefault="00557BD4" w:rsidP="00557BD4">
      <w:pPr>
        <w:spacing w:after="120"/>
        <w:jc w:val="both"/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sz w:val="16"/>
          <w:szCs w:val="22"/>
        </w:rPr>
        <w:t>Kontakty</w:t>
      </w:r>
      <w:r w:rsidRPr="009759C5">
        <w:rPr>
          <w:rFonts w:ascii="Tahoma" w:hAnsi="Tahoma" w:cs="Tahoma"/>
          <w:sz w:val="16"/>
          <w:szCs w:val="22"/>
        </w:rPr>
        <w:t>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68"/>
        <w:gridCol w:w="6912"/>
      </w:tblGrid>
      <w:tr w:rsidR="00557BD4" w:rsidTr="0096036A">
        <w:tc>
          <w:tcPr>
            <w:tcW w:w="2268" w:type="dxa"/>
          </w:tcPr>
          <w:p w:rsidR="00557BD4" w:rsidRPr="001200D6" w:rsidRDefault="00557BD4" w:rsidP="0096036A">
            <w:pPr>
              <w:pStyle w:val="Normlnweb"/>
              <w:spacing w:before="0" w:beforeAutospacing="0" w:after="0" w:afterAutospacing="0"/>
              <w:ind w:right="-426"/>
              <w:rPr>
                <w:rFonts w:ascii="Verdana" w:hAnsi="Verdana"/>
                <w:sz w:val="18"/>
              </w:rPr>
            </w:pPr>
            <w:r w:rsidRPr="001200D6">
              <w:rPr>
                <w:rFonts w:ascii="Verdana" w:hAnsi="Verdana"/>
                <w:sz w:val="18"/>
              </w:rPr>
              <w:t xml:space="preserve">Ing. Libor Dupal, </w:t>
            </w:r>
          </w:p>
          <w:p w:rsidR="00557BD4" w:rsidRPr="001200D6" w:rsidRDefault="00557BD4" w:rsidP="0096036A">
            <w:pPr>
              <w:pStyle w:val="Normlnweb"/>
              <w:spacing w:before="0" w:beforeAutospacing="0" w:after="0" w:afterAutospacing="0"/>
              <w:ind w:right="-426"/>
              <w:rPr>
                <w:rFonts w:ascii="Verdana" w:hAnsi="Verdana"/>
                <w:sz w:val="18"/>
              </w:rPr>
            </w:pPr>
            <w:r w:rsidRPr="001200D6">
              <w:rPr>
                <w:rFonts w:ascii="Verdana" w:hAnsi="Verdana"/>
                <w:sz w:val="18"/>
              </w:rPr>
              <w:t>ředitel</w:t>
            </w:r>
            <w:r w:rsidRPr="001200D6">
              <w:rPr>
                <w:rFonts w:ascii="Verdana" w:hAnsi="Verdana"/>
                <w:sz w:val="18"/>
              </w:rPr>
              <w:t xml:space="preserve"> SČS</w:t>
            </w:r>
          </w:p>
          <w:p w:rsidR="00557BD4" w:rsidRPr="001200D6" w:rsidRDefault="00557BD4" w:rsidP="0096036A">
            <w:pPr>
              <w:pStyle w:val="Normlnweb"/>
              <w:spacing w:before="0" w:beforeAutospacing="0" w:after="0" w:afterAutospacing="0"/>
              <w:ind w:right="-426"/>
              <w:rPr>
                <w:rFonts w:ascii="Verdana" w:hAnsi="Verdana"/>
                <w:sz w:val="18"/>
              </w:rPr>
            </w:pPr>
            <w:r w:rsidRPr="001200D6">
              <w:rPr>
                <w:rFonts w:ascii="Verdana" w:hAnsi="Verdana"/>
                <w:sz w:val="18"/>
              </w:rPr>
              <w:t>tel.: +420 261263574</w:t>
            </w:r>
          </w:p>
          <w:p w:rsidR="00557BD4" w:rsidRPr="001200D6" w:rsidRDefault="00557BD4" w:rsidP="0096036A">
            <w:pPr>
              <w:pStyle w:val="Normlnweb"/>
              <w:spacing w:before="0" w:beforeAutospacing="0" w:after="0" w:afterAutospacing="0"/>
              <w:ind w:right="-426"/>
              <w:rPr>
                <w:rFonts w:ascii="Verdana" w:hAnsi="Verdana"/>
                <w:sz w:val="18"/>
              </w:rPr>
            </w:pPr>
            <w:r w:rsidRPr="001200D6">
              <w:rPr>
                <w:rFonts w:ascii="Verdana" w:hAnsi="Verdana"/>
                <w:sz w:val="18"/>
              </w:rPr>
              <w:t xml:space="preserve">mobil: +420 602561856 </w:t>
            </w:r>
          </w:p>
          <w:p w:rsidR="00557BD4" w:rsidRPr="005F494D" w:rsidRDefault="00557BD4" w:rsidP="0096036A">
            <w:pPr>
              <w:pStyle w:val="Normln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  <w:r w:rsidRPr="001200D6">
              <w:rPr>
                <w:rFonts w:ascii="Verdana" w:hAnsi="Verdana"/>
                <w:sz w:val="18"/>
              </w:rPr>
              <w:t xml:space="preserve">e-mail: </w:t>
            </w:r>
            <w:hyperlink r:id="rId8" w:history="1">
              <w:r w:rsidRPr="001200D6">
                <w:rPr>
                  <w:rFonts w:ascii="Verdana" w:hAnsi="Verdana"/>
                  <w:sz w:val="18"/>
                </w:rPr>
                <w:t>dupal@regio.cz</w:t>
              </w:r>
            </w:hyperlink>
            <w:r w:rsidRPr="005F494D">
              <w:rPr>
                <w:rFonts w:ascii="Verdana" w:hAnsi="Verdana"/>
                <w:sz w:val="16"/>
              </w:rPr>
              <w:t xml:space="preserve"> </w:t>
            </w:r>
          </w:p>
          <w:p w:rsidR="00557BD4" w:rsidRPr="008C5014" w:rsidRDefault="00557BD4" w:rsidP="001200D6">
            <w:pPr>
              <w:pStyle w:val="Normlnweb"/>
              <w:spacing w:before="0" w:beforeAutospacing="0" w:after="0" w:afterAutospacing="0"/>
              <w:rPr>
                <w:rFonts w:ascii="Verdana" w:hAnsi="Verdana"/>
                <w:sz w:val="16"/>
              </w:rPr>
            </w:pPr>
          </w:p>
        </w:tc>
        <w:tc>
          <w:tcPr>
            <w:tcW w:w="6912" w:type="dxa"/>
          </w:tcPr>
          <w:p w:rsidR="001200D6" w:rsidRDefault="001200D6" w:rsidP="001200D6">
            <w:pPr>
              <w:pStyle w:val="Normln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Sdružení českých </w:t>
            </w:r>
            <w:proofErr w:type="gramStart"/>
            <w:r>
              <w:rPr>
                <w:b/>
                <w:sz w:val="18"/>
                <w:szCs w:val="18"/>
              </w:rPr>
              <w:t xml:space="preserve">spotřebitelů, </w:t>
            </w:r>
            <w:proofErr w:type="spellStart"/>
            <w:r>
              <w:rPr>
                <w:b/>
                <w:sz w:val="18"/>
                <w:szCs w:val="18"/>
              </w:rPr>
              <w:t>z.ú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(SČS)</w:t>
            </w:r>
            <w:r>
              <w:rPr>
                <w:sz w:val="18"/>
                <w:szCs w:val="18"/>
              </w:rPr>
      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      </w:r>
          </w:p>
          <w:p w:rsidR="00557BD4" w:rsidRDefault="001200D6" w:rsidP="001200D6">
            <w:pPr>
              <w:rPr>
                <w:sz w:val="18"/>
                <w:szCs w:val="18"/>
              </w:rPr>
            </w:pPr>
            <w:r w:rsidRPr="008516C6">
              <w:rPr>
                <w:sz w:val="18"/>
                <w:szCs w:val="18"/>
              </w:rPr>
              <w:t xml:space="preserve">Pod Altánem 99/103; </w:t>
            </w:r>
            <w:proofErr w:type="gramStart"/>
            <w:r w:rsidRPr="008516C6">
              <w:rPr>
                <w:sz w:val="18"/>
                <w:szCs w:val="18"/>
              </w:rPr>
              <w:t>100 00  Praha</w:t>
            </w:r>
            <w:proofErr w:type="gramEnd"/>
            <w:r w:rsidRPr="008516C6">
              <w:rPr>
                <w:sz w:val="18"/>
                <w:szCs w:val="18"/>
              </w:rPr>
              <w:t xml:space="preserve"> 10 </w:t>
            </w:r>
            <w:r>
              <w:rPr>
                <w:sz w:val="18"/>
                <w:szCs w:val="18"/>
              </w:rPr>
              <w:t>–</w:t>
            </w:r>
            <w:r w:rsidRPr="008516C6">
              <w:rPr>
                <w:sz w:val="18"/>
                <w:szCs w:val="18"/>
              </w:rPr>
              <w:t xml:space="preserve"> Strašnice</w:t>
            </w:r>
            <w:r>
              <w:rPr>
                <w:sz w:val="18"/>
                <w:szCs w:val="18"/>
              </w:rPr>
              <w:t xml:space="preserve">; +420 261263574, </w:t>
            </w:r>
            <w:hyperlink r:id="rId9" w:history="1">
              <w:r w:rsidRPr="00A67115">
                <w:rPr>
                  <w:sz w:val="18"/>
                  <w:szCs w:val="18"/>
                </w:rPr>
                <w:t>spotrebitel@regio.cz</w:t>
              </w:r>
            </w:hyperlink>
            <w:r>
              <w:rPr>
                <w:sz w:val="18"/>
                <w:szCs w:val="18"/>
              </w:rPr>
              <w:t xml:space="preserve">; </w:t>
            </w:r>
            <w:hyperlink r:id="rId10" w:history="1">
              <w:r w:rsidRPr="00A67115">
                <w:rPr>
                  <w:sz w:val="18"/>
                  <w:szCs w:val="18"/>
                </w:rPr>
                <w:t>www.konzument.cz</w:t>
              </w:r>
            </w:hyperlink>
            <w:r w:rsidR="00557BD4" w:rsidRPr="008C5014">
              <w:rPr>
                <w:sz w:val="18"/>
                <w:szCs w:val="18"/>
              </w:rPr>
              <w:t xml:space="preserve"> </w:t>
            </w:r>
          </w:p>
        </w:tc>
      </w:tr>
    </w:tbl>
    <w:p w:rsidR="00557BD4" w:rsidRDefault="00557BD4" w:rsidP="00557BD4">
      <w:pPr>
        <w:spacing w:after="120"/>
        <w:jc w:val="both"/>
        <w:rPr>
          <w:sz w:val="22"/>
        </w:rPr>
      </w:pPr>
    </w:p>
    <w:p w:rsidR="00557BD4" w:rsidRPr="00CC5F08" w:rsidRDefault="00557BD4" w:rsidP="00CC5F08"/>
    <w:sectPr w:rsidR="00557BD4" w:rsidRPr="00CC5F08" w:rsidSect="00B36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54" w:rsidRDefault="00F12154">
      <w:r>
        <w:separator/>
      </w:r>
    </w:p>
  </w:endnote>
  <w:endnote w:type="continuationSeparator" w:id="0">
    <w:p w:rsidR="00F12154" w:rsidRDefault="00F1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6440E1">
            <w:rPr>
              <w:noProof/>
              <w:color w:val="7F7F7F" w:themeColor="text1" w:themeTint="80"/>
            </w:rPr>
            <w:t>2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54" w:rsidRDefault="00F12154">
      <w:r>
        <w:separator/>
      </w:r>
    </w:p>
  </w:footnote>
  <w:footnote w:type="continuationSeparator" w:id="0">
    <w:p w:rsidR="00F12154" w:rsidRDefault="00F1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F12154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7004"/>
    <w:rsid w:val="000C3A95"/>
    <w:rsid w:val="000F054E"/>
    <w:rsid w:val="001200D6"/>
    <w:rsid w:val="0018143B"/>
    <w:rsid w:val="001F79A2"/>
    <w:rsid w:val="00262E00"/>
    <w:rsid w:val="002F0906"/>
    <w:rsid w:val="003049EB"/>
    <w:rsid w:val="00375D17"/>
    <w:rsid w:val="003D074B"/>
    <w:rsid w:val="0046589A"/>
    <w:rsid w:val="00470793"/>
    <w:rsid w:val="00490E7B"/>
    <w:rsid w:val="004918C2"/>
    <w:rsid w:val="004B75E0"/>
    <w:rsid w:val="004D59FA"/>
    <w:rsid w:val="004E4964"/>
    <w:rsid w:val="0051083E"/>
    <w:rsid w:val="00557BD4"/>
    <w:rsid w:val="00560A0E"/>
    <w:rsid w:val="00577130"/>
    <w:rsid w:val="005C4D59"/>
    <w:rsid w:val="005D70E3"/>
    <w:rsid w:val="006440E1"/>
    <w:rsid w:val="00652B75"/>
    <w:rsid w:val="006D7004"/>
    <w:rsid w:val="0070201E"/>
    <w:rsid w:val="007256ED"/>
    <w:rsid w:val="007C0E24"/>
    <w:rsid w:val="007D0D51"/>
    <w:rsid w:val="00813104"/>
    <w:rsid w:val="00822518"/>
    <w:rsid w:val="00850699"/>
    <w:rsid w:val="008B194A"/>
    <w:rsid w:val="00916AD3"/>
    <w:rsid w:val="00947FE7"/>
    <w:rsid w:val="00A04596"/>
    <w:rsid w:val="00A13995"/>
    <w:rsid w:val="00A36BBB"/>
    <w:rsid w:val="00A62800"/>
    <w:rsid w:val="00AE2781"/>
    <w:rsid w:val="00AE5DB9"/>
    <w:rsid w:val="00B36373"/>
    <w:rsid w:val="00B51FD5"/>
    <w:rsid w:val="00B71E61"/>
    <w:rsid w:val="00C2672A"/>
    <w:rsid w:val="00C61085"/>
    <w:rsid w:val="00CC5F08"/>
    <w:rsid w:val="00D62193"/>
    <w:rsid w:val="00DC407E"/>
    <w:rsid w:val="00DD75D6"/>
    <w:rsid w:val="00E24434"/>
    <w:rsid w:val="00F12154"/>
    <w:rsid w:val="00F9417C"/>
    <w:rsid w:val="00FA1790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57BD4"/>
    <w:rPr>
      <w:b/>
      <w:bCs/>
    </w:rPr>
  </w:style>
  <w:style w:type="paragraph" w:styleId="Normlnweb">
    <w:name w:val="Normal (Web)"/>
    <w:basedOn w:val="Normln"/>
    <w:rsid w:val="00557B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onzumen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pal@regio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676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11</cp:revision>
  <cp:lastPrinted>1900-12-31T23:00:00Z</cp:lastPrinted>
  <dcterms:created xsi:type="dcterms:W3CDTF">2014-02-04T13:04:00Z</dcterms:created>
  <dcterms:modified xsi:type="dcterms:W3CDTF">2015-03-18T12:42:00Z</dcterms:modified>
</cp:coreProperties>
</file>