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0D" w:rsidRPr="004563E2" w:rsidRDefault="00130D16" w:rsidP="000F0D58">
      <w:pPr>
        <w:pStyle w:val="Nzev"/>
        <w:jc w:val="both"/>
      </w:pPr>
      <w:r>
        <w:t>Sdružení českých spotřebitelů spouští nezávislou online finanční poradnu</w:t>
      </w:r>
    </w:p>
    <w:p w:rsidR="00DC7751" w:rsidRPr="000F0D58" w:rsidRDefault="00DC7751" w:rsidP="000F0D58">
      <w:pPr>
        <w:spacing w:after="120"/>
        <w:jc w:val="both"/>
        <w:rPr>
          <w:rFonts w:asciiTheme="minorHAnsi" w:hAnsiTheme="minorHAnsi"/>
        </w:rPr>
      </w:pPr>
      <w:r w:rsidRPr="000F0D58">
        <w:rPr>
          <w:rFonts w:asciiTheme="minorHAnsi" w:hAnsiTheme="minorHAnsi"/>
          <w:b/>
        </w:rPr>
        <w:t>Praha -</w:t>
      </w:r>
      <w:r w:rsidR="00B40996" w:rsidRPr="000F0D58">
        <w:rPr>
          <w:rFonts w:asciiTheme="minorHAnsi" w:hAnsiTheme="minorHAnsi"/>
          <w:b/>
        </w:rPr>
        <w:t xml:space="preserve"> </w:t>
      </w:r>
      <w:r w:rsidR="00633087">
        <w:rPr>
          <w:rFonts w:asciiTheme="minorHAnsi" w:hAnsiTheme="minorHAnsi"/>
          <w:b/>
        </w:rPr>
        <w:t>2</w:t>
      </w:r>
      <w:r w:rsidRPr="000F0D58">
        <w:rPr>
          <w:rFonts w:asciiTheme="minorHAnsi" w:hAnsiTheme="minorHAnsi"/>
          <w:b/>
        </w:rPr>
        <w:t xml:space="preserve">. </w:t>
      </w:r>
      <w:r w:rsidR="00633087">
        <w:rPr>
          <w:rFonts w:asciiTheme="minorHAnsi" w:hAnsiTheme="minorHAnsi"/>
          <w:b/>
        </w:rPr>
        <w:t>12</w:t>
      </w:r>
      <w:r w:rsidR="00B40996" w:rsidRPr="000F0D58">
        <w:rPr>
          <w:rFonts w:asciiTheme="minorHAnsi" w:hAnsiTheme="minorHAnsi"/>
          <w:b/>
        </w:rPr>
        <w:t>. 2014</w:t>
      </w:r>
      <w:r w:rsidR="00B40996" w:rsidRPr="000F0D58">
        <w:rPr>
          <w:rFonts w:asciiTheme="minorHAnsi" w:hAnsiTheme="minorHAnsi"/>
        </w:rPr>
        <w:t>.</w:t>
      </w:r>
      <w:r w:rsidRPr="000F0D58">
        <w:rPr>
          <w:rFonts w:asciiTheme="minorHAnsi" w:hAnsiTheme="minorHAnsi"/>
        </w:rPr>
        <w:t xml:space="preserve"> </w:t>
      </w:r>
      <w:r w:rsidR="00B6641E" w:rsidRPr="000F0D58">
        <w:rPr>
          <w:rFonts w:asciiTheme="minorHAnsi" w:hAnsiTheme="minorHAnsi"/>
          <w:b/>
        </w:rPr>
        <w:t>Vzhledem k</w:t>
      </w:r>
      <w:r w:rsidR="00BC05F1" w:rsidRPr="000F0D58">
        <w:rPr>
          <w:rFonts w:asciiTheme="minorHAnsi" w:hAnsiTheme="minorHAnsi"/>
          <w:b/>
        </w:rPr>
        <w:t xml:space="preserve"> nedostatečnému povědomí </w:t>
      </w:r>
      <w:r w:rsidR="00B6641E" w:rsidRPr="000F0D58">
        <w:rPr>
          <w:rFonts w:asciiTheme="minorHAnsi" w:hAnsiTheme="minorHAnsi"/>
          <w:b/>
        </w:rPr>
        <w:t>české veřejnosti o finančních službách</w:t>
      </w:r>
      <w:r w:rsidR="00BC05F1" w:rsidRPr="000F0D58">
        <w:rPr>
          <w:rFonts w:asciiTheme="minorHAnsi" w:hAnsiTheme="minorHAnsi"/>
          <w:b/>
        </w:rPr>
        <w:t>, častým podvodům v této oblasti</w:t>
      </w:r>
      <w:r w:rsidR="00B6641E" w:rsidRPr="000F0D58">
        <w:rPr>
          <w:rFonts w:asciiTheme="minorHAnsi" w:hAnsiTheme="minorHAnsi"/>
          <w:b/>
        </w:rPr>
        <w:t xml:space="preserve"> a také roztroušenosti</w:t>
      </w:r>
      <w:r w:rsidR="00BC05F1" w:rsidRPr="000F0D58">
        <w:rPr>
          <w:rFonts w:asciiTheme="minorHAnsi" w:hAnsiTheme="minorHAnsi"/>
          <w:b/>
        </w:rPr>
        <w:t xml:space="preserve"> informací na internetu spouští Sdružení českých spotřebitelů nezávislou online finanční poradnu</w:t>
      </w:r>
      <w:r w:rsidR="00D20B73" w:rsidRPr="000F0D58">
        <w:rPr>
          <w:rFonts w:asciiTheme="minorHAnsi" w:hAnsiTheme="minorHAnsi"/>
          <w:b/>
        </w:rPr>
        <w:t xml:space="preserve"> </w:t>
      </w:r>
      <w:hyperlink r:id="rId7" w:history="1">
        <w:r w:rsidR="000631BA" w:rsidRPr="000F0D58">
          <w:rPr>
            <w:rStyle w:val="Hypertextovodkaz"/>
            <w:rFonts w:asciiTheme="minorHAnsi" w:hAnsiTheme="minorHAnsi"/>
            <w:b/>
          </w:rPr>
          <w:t>infoprofinance.cz</w:t>
        </w:r>
      </w:hyperlink>
      <w:r w:rsidR="00BC05F1" w:rsidRPr="000F0D58">
        <w:rPr>
          <w:rFonts w:asciiTheme="minorHAnsi" w:hAnsiTheme="minorHAnsi"/>
          <w:b/>
        </w:rPr>
        <w:t>.</w:t>
      </w:r>
      <w:r w:rsidR="00BC05F1" w:rsidRPr="000F0D58">
        <w:rPr>
          <w:rFonts w:asciiTheme="minorHAnsi" w:hAnsiTheme="minorHAnsi"/>
        </w:rPr>
        <w:t xml:space="preserve">  </w:t>
      </w:r>
      <w:r w:rsidR="00B6641E" w:rsidRPr="000F0D58">
        <w:rPr>
          <w:rFonts w:asciiTheme="minorHAnsi" w:hAnsiTheme="minorHAnsi"/>
        </w:rPr>
        <w:t xml:space="preserve"> </w:t>
      </w:r>
    </w:p>
    <w:p w:rsidR="00BC05F1" w:rsidRPr="000F0D58" w:rsidRDefault="00BC05F1" w:rsidP="000F0D58">
      <w:pPr>
        <w:spacing w:after="120"/>
        <w:jc w:val="both"/>
        <w:rPr>
          <w:rFonts w:asciiTheme="minorHAnsi" w:hAnsiTheme="minorHAnsi"/>
        </w:rPr>
      </w:pPr>
      <w:r w:rsidRPr="000F0D58">
        <w:rPr>
          <w:rFonts w:asciiTheme="minorHAnsi" w:hAnsiTheme="minorHAnsi"/>
        </w:rPr>
        <w:t>Pro Sdružení českých spotřebitelů (SČS) je nov</w:t>
      </w:r>
      <w:r w:rsidR="0013770D" w:rsidRPr="000F0D58">
        <w:rPr>
          <w:rFonts w:asciiTheme="minorHAnsi" w:hAnsiTheme="minorHAnsi"/>
        </w:rPr>
        <w:t>o</w:t>
      </w:r>
      <w:r w:rsidRPr="000F0D58">
        <w:rPr>
          <w:rFonts w:asciiTheme="minorHAnsi" w:hAnsiTheme="minorHAnsi"/>
        </w:rPr>
        <w:t xml:space="preserve">u důležitou prioritou sledovat trh finančních služeb a snažit se pomáhat spotřebitelům tam, kde je potřeba. Finanční služby zahrnují celou řadu zcela odlišných sektorů, v nichž se spotřebitel </w:t>
      </w:r>
      <w:r w:rsidR="009A0171" w:rsidRPr="000F0D58">
        <w:rPr>
          <w:rFonts w:asciiTheme="minorHAnsi" w:hAnsiTheme="minorHAnsi"/>
        </w:rPr>
        <w:t xml:space="preserve">složitě </w:t>
      </w:r>
      <w:r w:rsidRPr="000F0D58">
        <w:rPr>
          <w:rFonts w:asciiTheme="minorHAnsi" w:hAnsiTheme="minorHAnsi"/>
        </w:rPr>
        <w:t xml:space="preserve">orientuje. </w:t>
      </w:r>
      <w:r w:rsidR="00D20B73" w:rsidRPr="000F0D58">
        <w:rPr>
          <w:rFonts w:asciiTheme="minorHAnsi" w:hAnsiTheme="minorHAnsi"/>
        </w:rPr>
        <w:t>Finanční sektor</w:t>
      </w:r>
      <w:r w:rsidRPr="000F0D58">
        <w:rPr>
          <w:rFonts w:asciiTheme="minorHAnsi" w:hAnsiTheme="minorHAnsi"/>
        </w:rPr>
        <w:t xml:space="preserve"> </w:t>
      </w:r>
      <w:r w:rsidR="00D20B73" w:rsidRPr="000F0D58">
        <w:rPr>
          <w:rFonts w:asciiTheme="minorHAnsi" w:hAnsiTheme="minorHAnsi"/>
        </w:rPr>
        <w:t>je</w:t>
      </w:r>
      <w:r w:rsidRPr="000F0D58">
        <w:rPr>
          <w:rFonts w:asciiTheme="minorHAnsi" w:hAnsiTheme="minorHAnsi"/>
        </w:rPr>
        <w:t xml:space="preserve"> </w:t>
      </w:r>
      <w:r w:rsidR="009A0171" w:rsidRPr="000F0D58">
        <w:rPr>
          <w:rFonts w:asciiTheme="minorHAnsi" w:hAnsiTheme="minorHAnsi"/>
        </w:rPr>
        <w:t xml:space="preserve">navíc </w:t>
      </w:r>
      <w:r w:rsidRPr="000F0D58">
        <w:rPr>
          <w:rFonts w:asciiTheme="minorHAnsi" w:hAnsiTheme="minorHAnsi"/>
        </w:rPr>
        <w:t xml:space="preserve">často </w:t>
      </w:r>
      <w:r w:rsidR="009A0171" w:rsidRPr="000F0D58">
        <w:rPr>
          <w:rFonts w:asciiTheme="minorHAnsi" w:hAnsiTheme="minorHAnsi"/>
        </w:rPr>
        <w:t>provázen</w:t>
      </w:r>
      <w:r w:rsidRPr="000F0D58">
        <w:rPr>
          <w:rFonts w:asciiTheme="minorHAnsi" w:hAnsiTheme="minorHAnsi"/>
        </w:rPr>
        <w:t xml:space="preserve"> mnohými nešvary, které obvykle </w:t>
      </w:r>
      <w:r w:rsidR="00D20B73" w:rsidRPr="000F0D58">
        <w:rPr>
          <w:rFonts w:asciiTheme="minorHAnsi" w:hAnsiTheme="minorHAnsi"/>
        </w:rPr>
        <w:t>negativně dopadají právě</w:t>
      </w:r>
      <w:r w:rsidRPr="000F0D58">
        <w:rPr>
          <w:rFonts w:asciiTheme="minorHAnsi" w:hAnsiTheme="minorHAnsi"/>
        </w:rPr>
        <w:t xml:space="preserve"> </w:t>
      </w:r>
      <w:r w:rsidR="00D20B73" w:rsidRPr="000F0D58">
        <w:rPr>
          <w:rFonts w:asciiTheme="minorHAnsi" w:hAnsiTheme="minorHAnsi"/>
        </w:rPr>
        <w:t xml:space="preserve">na </w:t>
      </w:r>
      <w:r w:rsidRPr="000F0D58">
        <w:rPr>
          <w:rFonts w:asciiTheme="minorHAnsi" w:hAnsiTheme="minorHAnsi"/>
        </w:rPr>
        <w:t>spotřebitele.</w:t>
      </w:r>
    </w:p>
    <w:p w:rsidR="000F0D58" w:rsidRDefault="004A6985" w:rsidP="000F0D58">
      <w:pPr>
        <w:spacing w:after="120"/>
        <w:jc w:val="both"/>
        <w:rPr>
          <w:rFonts w:asciiTheme="minorHAnsi" w:hAnsiTheme="minorHAnsi"/>
          <w:i/>
        </w:rPr>
      </w:pPr>
      <w:r w:rsidRPr="000F0D58">
        <w:rPr>
          <w:rFonts w:asciiTheme="minorHAnsi" w:hAnsiTheme="minorHAnsi"/>
        </w:rPr>
        <w:t>„</w:t>
      </w:r>
      <w:r w:rsidRPr="000F0D58">
        <w:rPr>
          <w:rFonts w:asciiTheme="minorHAnsi" w:hAnsiTheme="minorHAnsi"/>
          <w:i/>
        </w:rPr>
        <w:t>Do finančního vzdělávání a zvyšování finanční gramotnosti je zapojeno mnoho subjektů, včetně našeho sdružení</w:t>
      </w:r>
      <w:r w:rsidRPr="000F0D58">
        <w:rPr>
          <w:rFonts w:asciiTheme="minorHAnsi" w:hAnsiTheme="minorHAnsi"/>
        </w:rPr>
        <w:t xml:space="preserve">. </w:t>
      </w:r>
      <w:r w:rsidRPr="000F0D58">
        <w:rPr>
          <w:rFonts w:asciiTheme="minorHAnsi" w:hAnsiTheme="minorHAnsi"/>
          <w:i/>
        </w:rPr>
        <w:t>Přesto ve statistice našeho poradenství</w:t>
      </w:r>
      <w:r w:rsidR="00680CC3" w:rsidRPr="000F0D58">
        <w:rPr>
          <w:rFonts w:asciiTheme="minorHAnsi" w:hAnsiTheme="minorHAnsi"/>
          <w:i/>
        </w:rPr>
        <w:t xml:space="preserve"> pravidelně</w:t>
      </w:r>
      <w:r w:rsidRPr="000F0D58">
        <w:rPr>
          <w:rFonts w:asciiTheme="minorHAnsi" w:hAnsiTheme="minorHAnsi"/>
        </w:rPr>
        <w:t xml:space="preserve"> </w:t>
      </w:r>
      <w:r w:rsidR="00680CC3" w:rsidRPr="000F0D58">
        <w:rPr>
          <w:rFonts w:asciiTheme="minorHAnsi" w:hAnsiTheme="minorHAnsi"/>
          <w:i/>
        </w:rPr>
        <w:t>dosahují stížnosti a žádosti o radu z oblasti financí nejvyšších příček. A</w:t>
      </w:r>
      <w:r w:rsidR="00C9547B" w:rsidRPr="000F0D58">
        <w:rPr>
          <w:rFonts w:asciiTheme="minorHAnsi" w:hAnsiTheme="minorHAnsi"/>
          <w:i/>
        </w:rPr>
        <w:t xml:space="preserve"> </w:t>
      </w:r>
      <w:r w:rsidR="00680CC3" w:rsidRPr="000F0D58">
        <w:rPr>
          <w:rFonts w:asciiTheme="minorHAnsi" w:hAnsiTheme="minorHAnsi"/>
          <w:i/>
        </w:rPr>
        <w:t xml:space="preserve">tato </w:t>
      </w:r>
      <w:r w:rsidR="00C9547B" w:rsidRPr="000F0D58">
        <w:rPr>
          <w:rFonts w:asciiTheme="minorHAnsi" w:hAnsiTheme="minorHAnsi"/>
          <w:i/>
        </w:rPr>
        <w:t>t</w:t>
      </w:r>
      <w:r w:rsidR="000F0D58">
        <w:rPr>
          <w:rFonts w:asciiTheme="minorHAnsi" w:hAnsiTheme="minorHAnsi"/>
          <w:i/>
        </w:rPr>
        <w:t>endence rozhodně není klesající</w:t>
      </w:r>
      <w:r w:rsidR="00C9547B" w:rsidRPr="000F0D58">
        <w:rPr>
          <w:rFonts w:asciiTheme="minorHAnsi" w:hAnsiTheme="minorHAnsi"/>
          <w:i/>
        </w:rPr>
        <w:t>,</w:t>
      </w:r>
      <w:r w:rsidR="000F0D58">
        <w:rPr>
          <w:rFonts w:asciiTheme="minorHAnsi" w:hAnsiTheme="minorHAnsi"/>
          <w:i/>
        </w:rPr>
        <w:t>“</w:t>
      </w:r>
      <w:r w:rsidRPr="000F0D58">
        <w:rPr>
          <w:rFonts w:asciiTheme="minorHAnsi" w:hAnsiTheme="minorHAnsi"/>
        </w:rPr>
        <w:t xml:space="preserve"> </w:t>
      </w:r>
      <w:r w:rsidR="000631BA" w:rsidRPr="000F0D58">
        <w:rPr>
          <w:rFonts w:asciiTheme="minorHAnsi" w:hAnsiTheme="minorHAnsi"/>
        </w:rPr>
        <w:t xml:space="preserve">sděluje </w:t>
      </w:r>
      <w:r w:rsidR="000631BA" w:rsidRPr="000F0D58">
        <w:rPr>
          <w:rFonts w:asciiTheme="minorHAnsi" w:hAnsiTheme="minorHAnsi"/>
          <w:b/>
        </w:rPr>
        <w:t>Libor Dupal, ředitel SČS</w:t>
      </w:r>
      <w:r w:rsidR="00680CC3" w:rsidRPr="000F0D58">
        <w:rPr>
          <w:rFonts w:asciiTheme="minorHAnsi" w:hAnsiTheme="minorHAnsi"/>
        </w:rPr>
        <w:t xml:space="preserve"> a pokračuje,</w:t>
      </w:r>
      <w:r w:rsidR="00C9547B" w:rsidRPr="000F0D58">
        <w:rPr>
          <w:rFonts w:asciiTheme="minorHAnsi" w:hAnsiTheme="minorHAnsi"/>
        </w:rPr>
        <w:t xml:space="preserve"> </w:t>
      </w:r>
      <w:r w:rsidR="00680CC3" w:rsidRPr="000F0D58">
        <w:rPr>
          <w:rFonts w:asciiTheme="minorHAnsi" w:hAnsiTheme="minorHAnsi"/>
          <w:i/>
        </w:rPr>
        <w:t xml:space="preserve">„měsíčně se například </w:t>
      </w:r>
      <w:r w:rsidR="00C9547B" w:rsidRPr="000F0D58">
        <w:rPr>
          <w:rFonts w:asciiTheme="minorHAnsi" w:hAnsiTheme="minorHAnsi"/>
          <w:i/>
        </w:rPr>
        <w:t xml:space="preserve">na </w:t>
      </w:r>
      <w:hyperlink r:id="rId8" w:history="1">
        <w:r w:rsidR="00C9547B" w:rsidRPr="00633087">
          <w:rPr>
            <w:rStyle w:val="Hypertextovodkaz"/>
            <w:rFonts w:asciiTheme="minorHAnsi" w:hAnsiTheme="minorHAnsi"/>
            <w:i/>
          </w:rPr>
          <w:t>Poradnu při finanční tísni</w:t>
        </w:r>
      </w:hyperlink>
      <w:r w:rsidR="00C9547B" w:rsidRPr="000F0D58">
        <w:rPr>
          <w:rFonts w:asciiTheme="minorHAnsi" w:hAnsiTheme="minorHAnsi"/>
          <w:i/>
        </w:rPr>
        <w:t xml:space="preserve">, kterou SČS před časem </w:t>
      </w:r>
      <w:r w:rsidR="00680CC3" w:rsidRPr="000F0D58">
        <w:rPr>
          <w:rFonts w:asciiTheme="minorHAnsi" w:hAnsiTheme="minorHAnsi"/>
          <w:i/>
        </w:rPr>
        <w:t>spoluzakládalo, obrací více než tisícovka spotřebitelů</w:t>
      </w:r>
      <w:r w:rsidR="000F0D58" w:rsidRPr="000F0D58">
        <w:rPr>
          <w:rFonts w:asciiTheme="minorHAnsi" w:hAnsiTheme="minorHAnsi"/>
          <w:i/>
        </w:rPr>
        <w:t xml:space="preserve"> s žádostí o pomoc</w:t>
      </w:r>
      <w:r w:rsidR="00C9547B" w:rsidRPr="000F0D58">
        <w:rPr>
          <w:rFonts w:asciiTheme="minorHAnsi" w:hAnsiTheme="minorHAnsi"/>
          <w:i/>
        </w:rPr>
        <w:t>.</w:t>
      </w:r>
      <w:r w:rsidR="00633087">
        <w:rPr>
          <w:rFonts w:asciiTheme="minorHAnsi" w:hAnsiTheme="minorHAnsi"/>
          <w:i/>
        </w:rPr>
        <w:t xml:space="preserve"> Proto jsme se rozhodli rozšířit naše služby i o poradenství z oblasti financí.</w:t>
      </w:r>
      <w:r w:rsidR="00C9547B" w:rsidRPr="000F0D58">
        <w:rPr>
          <w:rFonts w:asciiTheme="minorHAnsi" w:hAnsiTheme="minorHAnsi"/>
          <w:i/>
        </w:rPr>
        <w:t xml:space="preserve"> </w:t>
      </w:r>
    </w:p>
    <w:p w:rsidR="000631BA" w:rsidRPr="00633087" w:rsidRDefault="00633087" w:rsidP="000F0D58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Sdružení</w:t>
      </w:r>
      <w:r w:rsidR="000F0D58" w:rsidRPr="00633087">
        <w:rPr>
          <w:rFonts w:asciiTheme="minorHAnsi" w:hAnsiTheme="minorHAnsi"/>
        </w:rPr>
        <w:t xml:space="preserve"> vedly ke spuštění poradny</w:t>
      </w:r>
      <w:r w:rsidR="00C9547B" w:rsidRPr="0063308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také </w:t>
      </w:r>
      <w:r w:rsidR="00C9547B" w:rsidRPr="00633087">
        <w:rPr>
          <w:rFonts w:asciiTheme="minorHAnsi" w:hAnsiTheme="minorHAnsi"/>
        </w:rPr>
        <w:t xml:space="preserve">výsledky průzkumu o chování českého spotřebitele na trhu bezhotovostních plateb (výsledky </w:t>
      </w:r>
      <w:r w:rsidR="000F0D58" w:rsidRPr="00633087">
        <w:rPr>
          <w:rFonts w:asciiTheme="minorHAnsi" w:hAnsiTheme="minorHAnsi"/>
        </w:rPr>
        <w:t>byly uveřejněny</w:t>
      </w:r>
      <w:r w:rsidR="00C9547B" w:rsidRPr="00633087">
        <w:rPr>
          <w:rFonts w:asciiTheme="minorHAnsi" w:hAnsiTheme="minorHAnsi"/>
        </w:rPr>
        <w:t xml:space="preserve"> na</w:t>
      </w:r>
      <w:r w:rsidR="000F0D58" w:rsidRPr="00633087">
        <w:rPr>
          <w:rFonts w:asciiTheme="minorHAnsi" w:hAnsiTheme="minorHAnsi"/>
        </w:rPr>
        <w:t xml:space="preserve"> počátku roku), z nichž vyplynulo, že čeští spotřebitelé vědí o financích opravdu málo. Například</w:t>
      </w:r>
      <w:r w:rsidR="00C9547B" w:rsidRPr="00633087">
        <w:rPr>
          <w:rFonts w:asciiTheme="minorHAnsi" w:hAnsiTheme="minorHAnsi"/>
        </w:rPr>
        <w:t xml:space="preserve"> </w:t>
      </w:r>
      <w:r w:rsidR="000F0D58" w:rsidRPr="00633087">
        <w:rPr>
          <w:rFonts w:asciiTheme="minorHAnsi" w:hAnsiTheme="minorHAnsi"/>
        </w:rPr>
        <w:t xml:space="preserve">více než 72 % Čechů </w:t>
      </w:r>
      <w:r w:rsidRPr="00633087">
        <w:rPr>
          <w:rFonts w:asciiTheme="minorHAnsi" w:hAnsiTheme="minorHAnsi"/>
        </w:rPr>
        <w:t>nevědělo</w:t>
      </w:r>
      <w:r w:rsidR="000F0D58" w:rsidRPr="00633087">
        <w:rPr>
          <w:rFonts w:asciiTheme="minorHAnsi" w:hAnsiTheme="minorHAnsi"/>
        </w:rPr>
        <w:t xml:space="preserve"> o možnosti navrácení odcizené částky</w:t>
      </w:r>
      <w:r w:rsidR="00C9547B" w:rsidRPr="00633087">
        <w:rPr>
          <w:rFonts w:asciiTheme="minorHAnsi" w:hAnsiTheme="minorHAnsi"/>
        </w:rPr>
        <w:t xml:space="preserve"> v případě zneužití bez</w:t>
      </w:r>
      <w:r w:rsidR="000F0D58" w:rsidRPr="00633087">
        <w:rPr>
          <w:rFonts w:asciiTheme="minorHAnsi" w:hAnsiTheme="minorHAnsi"/>
        </w:rPr>
        <w:t>kontaktní karty</w:t>
      </w:r>
      <w:r w:rsidRPr="00633087">
        <w:rPr>
          <w:rFonts w:asciiTheme="minorHAnsi" w:hAnsiTheme="minorHAnsi"/>
        </w:rPr>
        <w:t xml:space="preserve"> a</w:t>
      </w:r>
      <w:r w:rsidR="00B3717A" w:rsidRPr="00633087">
        <w:rPr>
          <w:rFonts w:asciiTheme="minorHAnsi" w:hAnsiTheme="minorHAnsi"/>
        </w:rPr>
        <w:t xml:space="preserve"> polovina dotazovaných </w:t>
      </w:r>
      <w:r w:rsidR="000F0D58" w:rsidRPr="00633087">
        <w:rPr>
          <w:rFonts w:asciiTheme="minorHAnsi" w:hAnsiTheme="minorHAnsi"/>
        </w:rPr>
        <w:t>nedokázala zodpovědět</w:t>
      </w:r>
      <w:r w:rsidR="00B3717A" w:rsidRPr="00633087">
        <w:rPr>
          <w:rFonts w:asciiTheme="minorHAnsi" w:hAnsiTheme="minorHAnsi"/>
        </w:rPr>
        <w:t xml:space="preserve">, jaké jsou rozdíly </w:t>
      </w:r>
      <w:r w:rsidR="000F0D58" w:rsidRPr="00633087">
        <w:rPr>
          <w:rFonts w:asciiTheme="minorHAnsi" w:hAnsiTheme="minorHAnsi"/>
        </w:rPr>
        <w:t xml:space="preserve">mezi </w:t>
      </w:r>
      <w:r w:rsidR="00B3717A" w:rsidRPr="00633087">
        <w:rPr>
          <w:rFonts w:asciiTheme="minorHAnsi" w:hAnsiTheme="minorHAnsi"/>
        </w:rPr>
        <w:t>debetní a kreditn</w:t>
      </w:r>
      <w:r w:rsidRPr="00633087">
        <w:rPr>
          <w:rFonts w:asciiTheme="minorHAnsi" w:hAnsiTheme="minorHAnsi"/>
        </w:rPr>
        <w:t xml:space="preserve">í kartou. 50% respondentů </w:t>
      </w:r>
      <w:r w:rsidR="00822FB9">
        <w:rPr>
          <w:rFonts w:asciiTheme="minorHAnsi" w:hAnsiTheme="minorHAnsi"/>
        </w:rPr>
        <w:t xml:space="preserve">navíc </w:t>
      </w:r>
      <w:bookmarkStart w:id="0" w:name="_GoBack"/>
      <w:bookmarkEnd w:id="0"/>
      <w:r w:rsidRPr="00633087">
        <w:rPr>
          <w:rFonts w:asciiTheme="minorHAnsi" w:hAnsiTheme="minorHAnsi"/>
        </w:rPr>
        <w:t>uvedlo, že používá</w:t>
      </w:r>
      <w:r w:rsidR="00B3717A" w:rsidRPr="00633087">
        <w:rPr>
          <w:rFonts w:asciiTheme="minorHAnsi" w:hAnsiTheme="minorHAnsi"/>
        </w:rPr>
        <w:t xml:space="preserve"> kreditní kartu k výběru hotovosti – přitom kreditní karty mají obvykle vysoké poplatky za výběry hotovosti</w:t>
      </w:r>
      <w:r w:rsidR="00680CC3" w:rsidRPr="00633087">
        <w:rPr>
          <w:rFonts w:asciiTheme="minorHAnsi" w:hAnsiTheme="minorHAnsi"/>
        </w:rPr>
        <w:t>.</w:t>
      </w:r>
    </w:p>
    <w:p w:rsidR="00342D30" w:rsidRPr="000F0D58" w:rsidRDefault="00DC7751" w:rsidP="000F0D58">
      <w:pPr>
        <w:spacing w:after="120"/>
        <w:jc w:val="both"/>
        <w:rPr>
          <w:rFonts w:asciiTheme="minorHAnsi" w:hAnsiTheme="minorHAnsi"/>
        </w:rPr>
      </w:pPr>
      <w:r w:rsidRPr="000F0D58">
        <w:rPr>
          <w:rFonts w:asciiTheme="minorHAnsi" w:hAnsiTheme="minorHAnsi"/>
        </w:rPr>
        <w:t xml:space="preserve">Nově spuštěné stránky </w:t>
      </w:r>
      <w:hyperlink r:id="rId9" w:history="1">
        <w:r w:rsidRPr="000F0D58">
          <w:rPr>
            <w:rStyle w:val="Hypertextovodkaz"/>
            <w:rFonts w:asciiTheme="minorHAnsi" w:hAnsiTheme="minorHAnsi"/>
          </w:rPr>
          <w:t>www.infoprofinance.cz</w:t>
        </w:r>
      </w:hyperlink>
      <w:r w:rsidRPr="000F0D58">
        <w:rPr>
          <w:rFonts w:asciiTheme="minorHAnsi" w:hAnsiTheme="minorHAnsi"/>
        </w:rPr>
        <w:t>, přinášejí v ucelené formě srozumitelné a snadno dostupné informace o jednotlivých sektorech trhu (bezhotovostní platby, pojistky, úvěry, ale také třeba finanční poradenství), vždy se zaměřením na hlavní rizika</w:t>
      </w:r>
      <w:r w:rsidR="00E51B9F" w:rsidRPr="000F0D58">
        <w:rPr>
          <w:rFonts w:asciiTheme="minorHAnsi" w:hAnsiTheme="minorHAnsi"/>
        </w:rPr>
        <w:t xml:space="preserve"> z nich plynoucí pro spotřebitele</w:t>
      </w:r>
      <w:r w:rsidR="00342D30" w:rsidRPr="000F0D58">
        <w:rPr>
          <w:rFonts w:asciiTheme="minorHAnsi" w:hAnsiTheme="minorHAnsi"/>
        </w:rPr>
        <w:t>, jak se jich vyvarovat a kde hledat pomoc</w:t>
      </w:r>
      <w:r w:rsidRPr="000F0D58">
        <w:rPr>
          <w:rFonts w:asciiTheme="minorHAnsi" w:hAnsiTheme="minorHAnsi"/>
        </w:rPr>
        <w:t>.</w:t>
      </w:r>
      <w:r w:rsidR="00E51B9F" w:rsidRPr="000F0D58">
        <w:rPr>
          <w:rFonts w:asciiTheme="minorHAnsi" w:hAnsiTheme="minorHAnsi"/>
        </w:rPr>
        <w:t xml:space="preserve"> </w:t>
      </w:r>
      <w:r w:rsidR="00585B2C" w:rsidRPr="000F0D58">
        <w:rPr>
          <w:rFonts w:asciiTheme="minorHAnsi" w:hAnsiTheme="minorHAnsi"/>
        </w:rPr>
        <w:t xml:space="preserve">Stránky také návštěvníkovi nabídnou mnoho </w:t>
      </w:r>
      <w:r w:rsidR="00342D30" w:rsidRPr="000F0D58">
        <w:rPr>
          <w:rFonts w:asciiTheme="minorHAnsi" w:hAnsiTheme="minorHAnsi"/>
        </w:rPr>
        <w:t xml:space="preserve">zajímavých </w:t>
      </w:r>
      <w:r w:rsidR="00585B2C" w:rsidRPr="000F0D58">
        <w:rPr>
          <w:rFonts w:asciiTheme="minorHAnsi" w:hAnsiTheme="minorHAnsi"/>
        </w:rPr>
        <w:t xml:space="preserve">odkazů na další </w:t>
      </w:r>
      <w:r w:rsidR="00342D30" w:rsidRPr="000F0D58">
        <w:rPr>
          <w:rFonts w:asciiTheme="minorHAnsi" w:hAnsiTheme="minorHAnsi"/>
        </w:rPr>
        <w:t>podrobnější elektronické zdroje.</w:t>
      </w:r>
    </w:p>
    <w:p w:rsidR="00342D30" w:rsidRPr="000F0D58" w:rsidRDefault="00342D30" w:rsidP="000F0D58">
      <w:pPr>
        <w:spacing w:after="120"/>
        <w:jc w:val="both"/>
        <w:rPr>
          <w:rFonts w:asciiTheme="minorHAnsi" w:hAnsiTheme="minorHAnsi"/>
        </w:rPr>
      </w:pPr>
      <w:r w:rsidRPr="000F0D58">
        <w:rPr>
          <w:rFonts w:asciiTheme="minorHAnsi" w:hAnsiTheme="minorHAnsi"/>
        </w:rPr>
        <w:t>Důležitou součástí stránek jsou informace o formách zapojení SČS v různých aktivitách pro spotřebitele, kde se snažíme problémy trhu řešit. Týká se to například zapojení do legislativních</w:t>
      </w:r>
      <w:r w:rsidR="0013770D" w:rsidRPr="000F0D58">
        <w:rPr>
          <w:rFonts w:asciiTheme="minorHAnsi" w:hAnsiTheme="minorHAnsi"/>
        </w:rPr>
        <w:t xml:space="preserve"> procesů</w:t>
      </w:r>
      <w:r w:rsidRPr="000F0D58">
        <w:rPr>
          <w:rFonts w:asciiTheme="minorHAnsi" w:hAnsiTheme="minorHAnsi"/>
        </w:rPr>
        <w:t>,</w:t>
      </w:r>
      <w:r w:rsidR="0013770D" w:rsidRPr="000F0D58">
        <w:rPr>
          <w:rFonts w:asciiTheme="minorHAnsi" w:hAnsiTheme="minorHAnsi"/>
        </w:rPr>
        <w:t xml:space="preserve"> zapojení do mnoha expertních skupin,</w:t>
      </w:r>
      <w:r w:rsidRPr="000F0D58">
        <w:rPr>
          <w:rFonts w:asciiTheme="minorHAnsi" w:hAnsiTheme="minorHAnsi"/>
        </w:rPr>
        <w:t xml:space="preserve"> provádění spotřebitelských průzkumů (např. Jak Češi vnímají nové platební prostředky?)</w:t>
      </w:r>
      <w:r w:rsidR="00B125F4" w:rsidRPr="000F0D58">
        <w:rPr>
          <w:rFonts w:asciiTheme="minorHAnsi" w:hAnsiTheme="minorHAnsi"/>
        </w:rPr>
        <w:t xml:space="preserve"> a mnoho dalších.</w:t>
      </w:r>
      <w:r w:rsidRPr="000F0D58">
        <w:rPr>
          <w:rFonts w:asciiTheme="minorHAnsi" w:hAnsiTheme="minorHAnsi"/>
        </w:rPr>
        <w:t xml:space="preserve"> </w:t>
      </w:r>
    </w:p>
    <w:p w:rsidR="00BC05F1" w:rsidRPr="000F0D58" w:rsidRDefault="00BC05F1" w:rsidP="0089285A">
      <w:pPr>
        <w:spacing w:after="120"/>
        <w:rPr>
          <w:rFonts w:asciiTheme="minorHAnsi" w:hAnsiTheme="minorHAnsi"/>
        </w:rPr>
      </w:pPr>
    </w:p>
    <w:p w:rsidR="000F0D58" w:rsidRPr="000F0D58" w:rsidRDefault="000F0D58" w:rsidP="00680CC3">
      <w:pPr>
        <w:pStyle w:val="Normlnweb"/>
        <w:spacing w:before="0" w:beforeAutospacing="0" w:after="120" w:afterAutospacing="0"/>
        <w:jc w:val="both"/>
        <w:rPr>
          <w:rFonts w:asciiTheme="minorHAnsi" w:hAnsiTheme="minorHAnsi"/>
          <w:b/>
          <w:sz w:val="22"/>
          <w:szCs w:val="18"/>
        </w:rPr>
      </w:pPr>
    </w:p>
    <w:p w:rsidR="000F0D58" w:rsidRPr="000F0D58" w:rsidRDefault="000F0D58" w:rsidP="00680CC3">
      <w:pPr>
        <w:pStyle w:val="Normlnweb"/>
        <w:spacing w:before="0" w:beforeAutospacing="0" w:after="120" w:afterAutospacing="0"/>
        <w:jc w:val="both"/>
        <w:rPr>
          <w:rFonts w:asciiTheme="minorHAnsi" w:hAnsiTheme="minorHAnsi"/>
          <w:b/>
          <w:sz w:val="22"/>
          <w:szCs w:val="18"/>
        </w:rPr>
      </w:pPr>
    </w:p>
    <w:p w:rsidR="000F0D58" w:rsidRPr="000F0D58" w:rsidRDefault="000F0D58" w:rsidP="00680CC3">
      <w:pPr>
        <w:pStyle w:val="Normlnweb"/>
        <w:spacing w:before="0" w:beforeAutospacing="0" w:after="120" w:afterAutospacing="0"/>
        <w:jc w:val="both"/>
        <w:rPr>
          <w:rFonts w:asciiTheme="minorHAnsi" w:hAnsiTheme="minorHAnsi"/>
          <w:b/>
          <w:sz w:val="22"/>
          <w:szCs w:val="18"/>
        </w:rPr>
      </w:pPr>
    </w:p>
    <w:p w:rsidR="000F0D58" w:rsidRPr="000F0D58" w:rsidRDefault="000F0D58" w:rsidP="00680CC3">
      <w:pPr>
        <w:pStyle w:val="Normlnweb"/>
        <w:spacing w:before="0" w:beforeAutospacing="0" w:after="120" w:afterAutospacing="0"/>
        <w:jc w:val="both"/>
        <w:rPr>
          <w:rFonts w:asciiTheme="minorHAnsi" w:hAnsiTheme="minorHAnsi"/>
          <w:b/>
          <w:sz w:val="22"/>
          <w:szCs w:val="18"/>
        </w:rPr>
      </w:pPr>
    </w:p>
    <w:p w:rsidR="000F0D58" w:rsidRPr="000F0D58" w:rsidRDefault="000F0D58" w:rsidP="00680CC3">
      <w:pPr>
        <w:pStyle w:val="Normlnweb"/>
        <w:spacing w:before="0" w:beforeAutospacing="0" w:after="120" w:afterAutospacing="0"/>
        <w:jc w:val="both"/>
        <w:rPr>
          <w:rFonts w:asciiTheme="minorHAnsi" w:hAnsiTheme="minorHAnsi"/>
          <w:b/>
          <w:sz w:val="22"/>
          <w:szCs w:val="18"/>
        </w:rPr>
      </w:pPr>
      <w:r w:rsidRPr="000F0D58">
        <w:rPr>
          <w:rFonts w:asciiTheme="minorHAnsi" w:hAnsiTheme="minorHAnsi"/>
          <w:b/>
          <w:sz w:val="22"/>
          <w:szCs w:val="18"/>
        </w:rPr>
        <w:t>O SČS</w:t>
      </w:r>
    </w:p>
    <w:p w:rsidR="00680CC3" w:rsidRPr="000F0D58" w:rsidRDefault="00680CC3" w:rsidP="00680CC3">
      <w:pPr>
        <w:pStyle w:val="Normlnweb"/>
        <w:spacing w:before="0" w:beforeAutospacing="0" w:after="120" w:afterAutospacing="0"/>
        <w:jc w:val="both"/>
        <w:rPr>
          <w:rFonts w:asciiTheme="minorHAnsi" w:hAnsiTheme="minorHAnsi"/>
          <w:sz w:val="22"/>
          <w:szCs w:val="18"/>
        </w:rPr>
      </w:pPr>
      <w:r w:rsidRPr="000F0D58">
        <w:rPr>
          <w:rFonts w:asciiTheme="minorHAnsi" w:hAnsiTheme="minorHAnsi"/>
          <w:b/>
          <w:sz w:val="22"/>
          <w:szCs w:val="18"/>
        </w:rPr>
        <w:t>Sdružení českých spotřebitelů, z.ú. (SČS)</w:t>
      </w:r>
      <w:r w:rsidRPr="000F0D58">
        <w:rPr>
          <w:rFonts w:asciiTheme="minorHAnsi" w:hAnsiTheme="minorHAnsi"/>
          <w:sz w:val="22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:rsidR="00680CC3" w:rsidRPr="000F0D58" w:rsidRDefault="00680CC3" w:rsidP="00680CC3">
      <w:pPr>
        <w:spacing w:after="120"/>
        <w:rPr>
          <w:rFonts w:asciiTheme="minorHAnsi" w:hAnsiTheme="minorHAnsi"/>
          <w:b/>
        </w:rPr>
      </w:pPr>
      <w:r w:rsidRPr="000F0D58">
        <w:rPr>
          <w:rFonts w:asciiTheme="minorHAnsi" w:hAnsiTheme="minorHAnsi"/>
          <w:b/>
        </w:rPr>
        <w:t>Kontakt:</w:t>
      </w:r>
    </w:p>
    <w:p w:rsidR="000631BA" w:rsidRPr="000F0D58" w:rsidRDefault="000631BA" w:rsidP="000631BA">
      <w:pPr>
        <w:rPr>
          <w:rFonts w:asciiTheme="minorHAnsi" w:hAnsiTheme="minorHAnsi"/>
        </w:rPr>
      </w:pPr>
      <w:r w:rsidRPr="000F0D58">
        <w:rPr>
          <w:rFonts w:asciiTheme="minorHAnsi" w:hAnsiTheme="minorHAnsi"/>
        </w:rPr>
        <w:t>Ing. Libor Dupal</w:t>
      </w:r>
    </w:p>
    <w:p w:rsidR="000631BA" w:rsidRPr="000F0D58" w:rsidRDefault="000631BA" w:rsidP="000631BA">
      <w:pPr>
        <w:rPr>
          <w:rFonts w:asciiTheme="minorHAnsi" w:hAnsiTheme="minorHAnsi"/>
        </w:rPr>
      </w:pPr>
      <w:r w:rsidRPr="000F0D58">
        <w:rPr>
          <w:rFonts w:asciiTheme="minorHAnsi" w:hAnsiTheme="minorHAnsi"/>
        </w:rPr>
        <w:t>ředitel SČS</w:t>
      </w:r>
    </w:p>
    <w:p w:rsidR="000631BA" w:rsidRPr="000F0D58" w:rsidRDefault="000631BA" w:rsidP="0089285A">
      <w:pPr>
        <w:spacing w:after="120"/>
        <w:rPr>
          <w:rFonts w:asciiTheme="minorHAnsi" w:hAnsiTheme="minorHAnsi"/>
        </w:rPr>
      </w:pPr>
      <w:r w:rsidRPr="000F0D58">
        <w:rPr>
          <w:rFonts w:asciiTheme="minorHAnsi" w:hAnsiTheme="minorHAnsi"/>
        </w:rPr>
        <w:t>tel. 602561856, e-mail: dupal@regio.cz</w:t>
      </w:r>
    </w:p>
    <w:p w:rsidR="00BC05F1" w:rsidRDefault="00BC05F1" w:rsidP="0089285A">
      <w:pPr>
        <w:pStyle w:val="Normlnweb"/>
        <w:spacing w:before="0" w:beforeAutospacing="0" w:after="120" w:afterAutospacing="0"/>
        <w:rPr>
          <w:b/>
          <w:sz w:val="22"/>
          <w:szCs w:val="18"/>
        </w:rPr>
      </w:pPr>
    </w:p>
    <w:p w:rsidR="000631BA" w:rsidRDefault="000631BA" w:rsidP="0089285A">
      <w:pPr>
        <w:pStyle w:val="Normlnweb"/>
        <w:spacing w:before="0" w:beforeAutospacing="0" w:after="120" w:afterAutospacing="0"/>
        <w:rPr>
          <w:b/>
          <w:sz w:val="22"/>
          <w:szCs w:val="18"/>
        </w:rPr>
      </w:pPr>
    </w:p>
    <w:p w:rsidR="0053420D" w:rsidRPr="00D20B73" w:rsidRDefault="0053420D" w:rsidP="000631BA">
      <w:pPr>
        <w:spacing w:after="120"/>
        <w:jc w:val="both"/>
        <w:rPr>
          <w:sz w:val="22"/>
          <w:szCs w:val="18"/>
        </w:rPr>
      </w:pPr>
    </w:p>
    <w:sectPr w:rsidR="0053420D" w:rsidRPr="00D20B73" w:rsidSect="00B36373">
      <w:headerReference w:type="default" r:id="rId10"/>
      <w:footerReference w:type="default" r:id="rId11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9C5" w:rsidRDefault="008879C5">
      <w:r>
        <w:separator/>
      </w:r>
    </w:p>
  </w:endnote>
  <w:endnote w:type="continuationSeparator" w:id="0">
    <w:p w:rsidR="008879C5" w:rsidRDefault="0088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z. 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., 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Bankovní spojení: Česká spořitelna, a. s., č. ú. 96282339/0800</w:t>
          </w:r>
        </w:p>
      </w:tc>
      <w:tc>
        <w:tcPr>
          <w:tcW w:w="1134" w:type="dxa"/>
        </w:tcPr>
        <w:p w:rsidR="00B36373" w:rsidRPr="00B36373" w:rsidRDefault="00FB43AF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450E6A">
            <w:rPr>
              <w:noProof/>
              <w:color w:val="7F7F7F" w:themeColor="text1" w:themeTint="80"/>
            </w:rPr>
            <w:t>1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9C5" w:rsidRDefault="008879C5">
      <w:r>
        <w:separator/>
      </w:r>
    </w:p>
  </w:footnote>
  <w:footnote w:type="continuationSeparator" w:id="0">
    <w:p w:rsidR="008879C5" w:rsidRDefault="00887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FB43AF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63EE5"/>
    <w:multiLevelType w:val="hybridMultilevel"/>
    <w:tmpl w:val="8DF451FE"/>
    <w:lvl w:ilvl="0" w:tplc="F85444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D7004"/>
    <w:rsid w:val="000631BA"/>
    <w:rsid w:val="000C3A95"/>
    <w:rsid w:val="000F054E"/>
    <w:rsid w:val="000F0D58"/>
    <w:rsid w:val="00130D16"/>
    <w:rsid w:val="0013770D"/>
    <w:rsid w:val="0018143B"/>
    <w:rsid w:val="001F79A2"/>
    <w:rsid w:val="00262E00"/>
    <w:rsid w:val="00265AA1"/>
    <w:rsid w:val="002F0826"/>
    <w:rsid w:val="002F0906"/>
    <w:rsid w:val="003049EB"/>
    <w:rsid w:val="00342D30"/>
    <w:rsid w:val="00375D17"/>
    <w:rsid w:val="003D074B"/>
    <w:rsid w:val="00450E6A"/>
    <w:rsid w:val="004563E2"/>
    <w:rsid w:val="0046589A"/>
    <w:rsid w:val="00470793"/>
    <w:rsid w:val="00490E7B"/>
    <w:rsid w:val="004A6985"/>
    <w:rsid w:val="004B75E0"/>
    <w:rsid w:val="004D59FA"/>
    <w:rsid w:val="004E4964"/>
    <w:rsid w:val="0051083E"/>
    <w:rsid w:val="0053260A"/>
    <w:rsid w:val="0053420D"/>
    <w:rsid w:val="00572DD0"/>
    <w:rsid w:val="00577130"/>
    <w:rsid w:val="00585B2C"/>
    <w:rsid w:val="005C4D59"/>
    <w:rsid w:val="005D70E3"/>
    <w:rsid w:val="00633087"/>
    <w:rsid w:val="00652B75"/>
    <w:rsid w:val="00680CC3"/>
    <w:rsid w:val="006D7004"/>
    <w:rsid w:val="0070201E"/>
    <w:rsid w:val="007256ED"/>
    <w:rsid w:val="007C0E24"/>
    <w:rsid w:val="007D0D51"/>
    <w:rsid w:val="007E1628"/>
    <w:rsid w:val="00813104"/>
    <w:rsid w:val="00822518"/>
    <w:rsid w:val="00822FB9"/>
    <w:rsid w:val="00850699"/>
    <w:rsid w:val="008879C5"/>
    <w:rsid w:val="0089285A"/>
    <w:rsid w:val="008B194A"/>
    <w:rsid w:val="00916AD3"/>
    <w:rsid w:val="00946DBD"/>
    <w:rsid w:val="00947FE7"/>
    <w:rsid w:val="009A0171"/>
    <w:rsid w:val="00A04596"/>
    <w:rsid w:val="00A36BBB"/>
    <w:rsid w:val="00A62800"/>
    <w:rsid w:val="00AE2781"/>
    <w:rsid w:val="00AE5DB9"/>
    <w:rsid w:val="00B125F4"/>
    <w:rsid w:val="00B36373"/>
    <w:rsid w:val="00B3717A"/>
    <w:rsid w:val="00B40996"/>
    <w:rsid w:val="00B51FD5"/>
    <w:rsid w:val="00B6641E"/>
    <w:rsid w:val="00B71E61"/>
    <w:rsid w:val="00B92F34"/>
    <w:rsid w:val="00BC05F1"/>
    <w:rsid w:val="00C2672A"/>
    <w:rsid w:val="00C9547B"/>
    <w:rsid w:val="00CC5F08"/>
    <w:rsid w:val="00D00274"/>
    <w:rsid w:val="00D20B73"/>
    <w:rsid w:val="00D62193"/>
    <w:rsid w:val="00DC7751"/>
    <w:rsid w:val="00DD75D6"/>
    <w:rsid w:val="00E24434"/>
    <w:rsid w:val="00E329B3"/>
    <w:rsid w:val="00E51B9F"/>
    <w:rsid w:val="00E96F36"/>
    <w:rsid w:val="00EC735C"/>
    <w:rsid w:val="00F9417C"/>
    <w:rsid w:val="00FB43AF"/>
    <w:rsid w:val="00FC064E"/>
    <w:rsid w:val="00FF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3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paragraph" w:styleId="Normlnweb">
    <w:name w:val="Normal (Web)"/>
    <w:basedOn w:val="Normln"/>
    <w:unhideWhenUsed/>
    <w:rsid w:val="0053420D"/>
    <w:pPr>
      <w:spacing w:before="100" w:beforeAutospacing="1" w:after="100" w:afterAutospacing="1"/>
    </w:pPr>
  </w:style>
  <w:style w:type="character" w:styleId="Hypertextovodkaz">
    <w:name w:val="Hyperlink"/>
    <w:uiPriority w:val="99"/>
    <w:rsid w:val="0053420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563E2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BC05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05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kaznakoment">
    <w:name w:val="annotation reference"/>
    <w:basedOn w:val="Standardnpsmoodstavce"/>
    <w:uiPriority w:val="99"/>
    <w:semiHidden/>
    <w:unhideWhenUsed/>
    <w:rsid w:val="00BC05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5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05F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05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05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paragraph" w:styleId="Normlnweb">
    <w:name w:val="Normal (Web)"/>
    <w:basedOn w:val="Normln"/>
    <w:unhideWhenUsed/>
    <w:rsid w:val="0053420D"/>
    <w:pPr>
      <w:spacing w:before="100" w:beforeAutospacing="1" w:after="100" w:afterAutospacing="1"/>
    </w:pPr>
  </w:style>
  <w:style w:type="character" w:styleId="Hypertextovodkaz">
    <w:name w:val="Hyperlink"/>
    <w:uiPriority w:val="99"/>
    <w:rsid w:val="0053420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563E2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BC05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05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kaznakoment">
    <w:name w:val="annotation reference"/>
    <w:basedOn w:val="Standardnpsmoodstavce"/>
    <w:uiPriority w:val="99"/>
    <w:semiHidden/>
    <w:unhideWhenUsed/>
    <w:rsid w:val="00BC05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5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05F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05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05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nitisen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foprofinance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foprofinance.cz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Bergmannova</cp:lastModifiedBy>
  <cp:revision>2</cp:revision>
  <cp:lastPrinted>1900-12-31T23:00:00Z</cp:lastPrinted>
  <dcterms:created xsi:type="dcterms:W3CDTF">2014-12-03T12:01:00Z</dcterms:created>
  <dcterms:modified xsi:type="dcterms:W3CDTF">2014-12-03T12:01:00Z</dcterms:modified>
</cp:coreProperties>
</file>